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6"/>
        <w:numPr>
          <w:numId w:val="0"/>
        </w:numPr>
        <w:ind w:leftChars="0"/>
      </w:pPr>
      <w:bookmarkStart w:id="0" w:name="_Toc28267"/>
      <w:r>
        <w:rPr>
          <w:rFonts w:hint="eastAsia"/>
          <w:lang w:val="en-US" w:eastAsia="zh-CN"/>
        </w:rPr>
        <w:t>1</w:t>
      </w:r>
      <w:r>
        <w:rPr>
          <w:rFonts w:hint="eastAsia"/>
        </w:rPr>
        <w:t>比赛内容</w:t>
      </w:r>
      <w:bookmarkEnd w:id="0"/>
      <w:r>
        <w:rPr>
          <w:rFonts w:hint="eastAsia"/>
          <w:lang w:eastAsia="zh-CN"/>
        </w:rPr>
        <w:t>—</w:t>
      </w:r>
      <w:r>
        <w:rPr>
          <w:rFonts w:hint="eastAsia"/>
          <w:lang w:val="en-US" w:eastAsia="zh-CN"/>
        </w:rPr>
        <w:t xml:space="preserve"> </w:t>
      </w:r>
      <w:r>
        <w:rPr>
          <w:color w:val="FF0000"/>
        </w:rPr>
        <w:t>MakeX Explorer碳锁先锋</w:t>
      </w:r>
    </w:p>
    <w:p>
      <w:pPr>
        <w:pStyle w:val="30"/>
        <w:rPr>
          <w:color w:val="auto"/>
        </w:rPr>
      </w:pPr>
      <w:r>
        <w:rPr>
          <w:rFonts w:hint="eastAsia"/>
          <w:color w:val="auto"/>
          <w:lang w:eastAsia="zh-CN"/>
        </w:rPr>
        <w:t>2022--2023</w:t>
      </w:r>
      <w:r>
        <w:rPr>
          <w:color w:val="auto"/>
        </w:rPr>
        <w:t>赛季MakeX Explorer的赛项主题为《碳锁先锋》。</w:t>
      </w:r>
    </w:p>
    <w:p>
      <w:pPr>
        <w:pStyle w:val="30"/>
        <w:rPr>
          <w:color w:val="auto"/>
        </w:rPr>
      </w:pPr>
      <w:r>
        <w:rPr>
          <w:rFonts w:hint="eastAsia"/>
          <w:color w:val="auto"/>
        </w:rPr>
        <w:t>近一个世纪以来，大量二氧化碳、水汽、氧化亚氮、甲烷等温室气体的排放，导致地球表层变暖。解决全球变暖的方法除了主动减少温室气体的排放外，还可以借助先进的设备捕获温室气体中的二氧化碳并加以利用。收集到的二氧化碳可运用在化学品生产、可持续燃料生产、食品和饮料制造、农业和医药等方面加以利用，减少温室气体的排放，减缓气候变暖，最终实现可持续发展的目标。</w:t>
      </w:r>
    </w:p>
    <w:p>
      <w:pPr>
        <w:pStyle w:val="81"/>
      </w:pPr>
      <w:bookmarkStart w:id="1" w:name="_Toc28585"/>
      <w:r>
        <w:rPr>
          <w:rFonts w:hint="eastAsia"/>
        </w:rPr>
        <w:t>玩法简介</w:t>
      </w:r>
      <w:bookmarkEnd w:id="1"/>
    </w:p>
    <w:p>
      <w:pPr>
        <w:pStyle w:val="30"/>
        <w:rPr>
          <w:color w:val="auto"/>
        </w:rPr>
      </w:pPr>
      <w:r>
        <w:rPr>
          <w:color w:val="auto"/>
        </w:rPr>
        <w:t>MakeX Explorer为竞技对抗赛，每场比赛分为红蓝两个联盟，每个联盟由2支战队组成。</w:t>
      </w:r>
    </w:p>
    <w:p>
      <w:pPr>
        <w:pStyle w:val="30"/>
        <w:rPr>
          <w:color w:val="auto"/>
        </w:rPr>
      </w:pPr>
      <w:r>
        <w:drawing>
          <wp:anchor distT="180340" distB="180340" distL="114300" distR="114300" simplePos="0" relativeHeight="251679744" behindDoc="0" locked="0" layoutInCell="1" allowOverlap="1">
            <wp:simplePos x="0" y="0"/>
            <wp:positionH relativeFrom="column">
              <wp:posOffset>287655</wp:posOffset>
            </wp:positionH>
            <wp:positionV relativeFrom="paragraph">
              <wp:posOffset>1047115</wp:posOffset>
            </wp:positionV>
            <wp:extent cx="4705350" cy="3204210"/>
            <wp:effectExtent l="0" t="0" r="635" b="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705200" cy="3204000"/>
                    </a:xfrm>
                    <a:prstGeom prst="rect">
                      <a:avLst/>
                    </a:prstGeom>
                    <a:noFill/>
                  </pic:spPr>
                </pic:pic>
              </a:graphicData>
            </a:graphic>
          </wp:anchor>
        </w:drawing>
      </w:r>
      <w:r>
        <w:rPr>
          <w:rFonts w:hint="eastAsia"/>
          <w:color w:val="auto"/>
        </w:rPr>
        <w:t>比赛包含自动控制阶段和手动控制阶段。参赛战队需要根据比赛要求，通过程序自动控制机器人或手动操控机器人来完成相应的比赛任务。比赛结束后，裁判计算双方各项任务得分之和，分数高的联盟将获得比赛胜利。</w:t>
      </w:r>
    </w:p>
    <w:p>
      <w:pPr>
        <w:widowControl/>
        <w:spacing w:after="156" w:afterLines="50" w:line="240" w:lineRule="auto"/>
        <w:jc w:val="center"/>
        <w:rPr>
          <w:rFonts w:cs="微软雅黑"/>
          <w:sz w:val="24"/>
          <w:szCs w:val="21"/>
        </w:rPr>
      </w:pPr>
      <w:r>
        <w:rPr>
          <w:rFonts w:hint="eastAsia" w:cs="微软雅黑"/>
          <w:sz w:val="24"/>
          <w:szCs w:val="21"/>
        </w:rPr>
        <w:t>图</w:t>
      </w:r>
      <w:r>
        <w:rPr>
          <w:rFonts w:hint="eastAsia" w:cs="微软雅黑"/>
          <w:sz w:val="24"/>
          <w:szCs w:val="21"/>
          <w:lang w:val="en-US" w:eastAsia="zh-CN"/>
        </w:rPr>
        <w:t>1</w:t>
      </w:r>
      <w:r>
        <w:rPr>
          <w:rFonts w:cs="微软雅黑"/>
          <w:sz w:val="24"/>
          <w:szCs w:val="21"/>
        </w:rPr>
        <w:t xml:space="preserve">.1 </w:t>
      </w:r>
      <w:r>
        <w:rPr>
          <w:rFonts w:hint="eastAsia" w:cs="微软雅黑"/>
          <w:sz w:val="24"/>
          <w:szCs w:val="21"/>
        </w:rPr>
        <w:t>比赛场地轴侧图</w:t>
      </w:r>
    </w:p>
    <w:p>
      <w:pPr>
        <w:pStyle w:val="33"/>
        <w:spacing w:line="420" w:lineRule="exact"/>
      </w:pPr>
      <w:bookmarkStart w:id="2" w:name="_Toc32207"/>
      <w:r>
        <w:rPr>
          <w:rFonts w:hint="eastAsia"/>
        </w:rPr>
        <w:t>场地说明</w:t>
      </w:r>
      <w:bookmarkEnd w:id="2"/>
    </w:p>
    <w:p>
      <w:pPr>
        <w:pStyle w:val="30"/>
        <w:rPr>
          <w:color w:val="auto"/>
        </w:rPr>
      </w:pPr>
      <w:r>
        <w:rPr>
          <w:color w:val="auto"/>
        </w:rPr>
        <w:t>MakeX Explorer比赛场地由地图和边框组成。场地大小为 2440mm*2440mm 的矩形区域，其中比赛地图尺寸为 2317mm*2357mm，场地四周边框高度为255mm，厚度为15mm。主要包括CO</w:t>
      </w:r>
      <w:r>
        <w:rPr>
          <w:rFonts w:ascii="Cambria Math" w:hAnsi="Cambria Math" w:cs="Cambria Math"/>
          <w:color w:val="auto"/>
        </w:rPr>
        <w:t>₂</w:t>
      </w:r>
      <w:r>
        <w:rPr>
          <w:color w:val="auto"/>
        </w:rPr>
        <w:t>排放区（中央区）、启动区、CO</w:t>
      </w:r>
      <w:r>
        <w:rPr>
          <w:rFonts w:ascii="Cambria Math" w:hAnsi="Cambria Math" w:cs="Cambria Math"/>
          <w:color w:val="auto"/>
        </w:rPr>
        <w:t>₂</w:t>
      </w:r>
      <w:r>
        <w:rPr>
          <w:color w:val="auto"/>
        </w:rPr>
        <w:t>转化站</w:t>
      </w:r>
      <w:r>
        <w:rPr>
          <w:rFonts w:hint="eastAsia"/>
          <w:color w:val="auto"/>
        </w:rPr>
        <w:t>（</w:t>
      </w:r>
      <w:r>
        <w:rPr>
          <w:color w:val="auto"/>
        </w:rPr>
        <w:t>球门区</w:t>
      </w:r>
      <w:r>
        <w:rPr>
          <w:rFonts w:hint="eastAsia"/>
          <w:color w:val="auto"/>
        </w:rPr>
        <w:t>）</w:t>
      </w:r>
      <w:r>
        <w:rPr>
          <w:color w:val="auto"/>
        </w:rPr>
        <w:t>、迈迈旗筒、防泄漏装置区</w:t>
      </w:r>
      <w:r>
        <w:rPr>
          <w:color w:val="auto"/>
          <w:highlight w:val="none"/>
        </w:rPr>
        <w:t>、生产区</w:t>
      </w:r>
      <w:r>
        <w:rPr>
          <w:rFonts w:hint="eastAsia"/>
          <w:color w:val="auto"/>
          <w:highlight w:val="none"/>
          <w:lang w:eastAsia="zh-CN"/>
        </w:rPr>
        <w:t>、</w:t>
      </w:r>
      <w:r>
        <w:rPr>
          <w:rFonts w:hint="eastAsia"/>
          <w:color w:val="auto"/>
          <w:highlight w:val="none"/>
          <w:lang w:val="en-US" w:eastAsia="zh-CN"/>
        </w:rPr>
        <w:t>旗帜放置区</w:t>
      </w:r>
      <w:r>
        <w:rPr>
          <w:color w:val="auto"/>
          <w:highlight w:val="none"/>
        </w:rPr>
        <w:t>等区</w:t>
      </w:r>
      <w:r>
        <w:rPr>
          <w:color w:val="auto"/>
        </w:rPr>
        <w:t>域。部分比赛现场可能有</w:t>
      </w:r>
      <w:r>
        <w:rPr>
          <w:rFonts w:hint="eastAsia"/>
          <w:color w:val="auto"/>
        </w:rPr>
        <w:t>场控盒子</w:t>
      </w:r>
      <w:r>
        <w:rPr>
          <w:color w:val="auto"/>
        </w:rPr>
        <w:t>实时显示比赛用时。</w:t>
      </w:r>
    </w:p>
    <w:p>
      <w:pPr>
        <w:pStyle w:val="30"/>
        <w:rPr>
          <w:rFonts w:hint="eastAsia" w:eastAsia="思源黑体 CN Regular"/>
          <w:color w:val="auto"/>
          <w:lang w:eastAsia="zh-CN"/>
        </w:rPr>
      </w:pPr>
    </w:p>
    <w:p>
      <w:pPr>
        <w:widowControl/>
        <w:spacing w:after="156" w:afterLines="50" w:line="240" w:lineRule="auto"/>
        <w:jc w:val="center"/>
        <w:rPr>
          <w:rFonts w:cs="微软雅黑"/>
          <w:sz w:val="24"/>
          <w:szCs w:val="21"/>
        </w:rPr>
      </w:pPr>
      <w:r>
        <w:rPr>
          <w:rFonts w:hint="eastAsia" w:eastAsia="思源黑体 CN Regular"/>
          <w:color w:val="auto"/>
          <w:lang w:eastAsia="zh-CN"/>
        </w:rPr>
        <w:drawing>
          <wp:anchor distT="0" distB="0" distL="114300" distR="114300" simplePos="0" relativeHeight="251686912" behindDoc="0" locked="0" layoutInCell="1" allowOverlap="1">
            <wp:simplePos x="0" y="0"/>
            <wp:positionH relativeFrom="column">
              <wp:posOffset>-160020</wp:posOffset>
            </wp:positionH>
            <wp:positionV relativeFrom="paragraph">
              <wp:posOffset>99060</wp:posOffset>
            </wp:positionV>
            <wp:extent cx="6043295" cy="3926205"/>
            <wp:effectExtent l="0" t="0" r="14605" b="17145"/>
            <wp:wrapTopAndBottom/>
            <wp:docPr id="22" name="图片 22" descr="167065994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670659941908"/>
                    <pic:cNvPicPr>
                      <a:picLocks noChangeAspect="1"/>
                    </pic:cNvPicPr>
                  </pic:nvPicPr>
                  <pic:blipFill>
                    <a:blip r:embed="rId12"/>
                    <a:srcRect t="483"/>
                    <a:stretch>
                      <a:fillRect/>
                    </a:stretch>
                  </pic:blipFill>
                  <pic:spPr>
                    <a:xfrm>
                      <a:off x="0" y="0"/>
                      <a:ext cx="6043295" cy="3926205"/>
                    </a:xfrm>
                    <a:prstGeom prst="rect">
                      <a:avLst/>
                    </a:prstGeom>
                  </pic:spPr>
                </pic:pic>
              </a:graphicData>
            </a:graphic>
          </wp:anchor>
        </w:drawing>
      </w:r>
      <w:r>
        <w:rPr>
          <w:rFonts w:cs="微软雅黑"/>
          <w:sz w:val="24"/>
          <w:szCs w:val="21"/>
        </w:rPr>
        <w:t>图</w:t>
      </w:r>
      <w:r>
        <w:rPr>
          <w:rFonts w:hint="eastAsia" w:cs="微软雅黑"/>
          <w:sz w:val="24"/>
          <w:szCs w:val="21"/>
          <w:lang w:val="en-US" w:eastAsia="zh-CN"/>
        </w:rPr>
        <w:t>1</w:t>
      </w:r>
      <w:r>
        <w:rPr>
          <w:rFonts w:cs="微软雅黑"/>
          <w:sz w:val="24"/>
          <w:szCs w:val="21"/>
        </w:rPr>
        <w:t>.2-1 场地区域说明图</w:t>
      </w:r>
    </w:p>
    <w:p>
      <w:pPr>
        <w:pStyle w:val="30"/>
        <w:rPr>
          <w:color w:val="auto"/>
        </w:rPr>
      </w:pPr>
      <w:r>
        <w:rPr>
          <w:rFonts w:hint="eastAsia"/>
          <w:color w:val="auto"/>
        </w:rPr>
        <w:t>场地划分为红方阵地、蓝方阵地和中央区。双方机器人仅允许在各自的阵地内完成相应的任务。</w:t>
      </w:r>
    </w:p>
    <w:p>
      <w:pPr>
        <w:widowControl/>
        <w:spacing w:after="156" w:afterLines="50" w:line="240" w:lineRule="auto"/>
        <w:jc w:val="center"/>
        <w:rPr>
          <w:rFonts w:cs="微软雅黑"/>
          <w:sz w:val="24"/>
          <w:szCs w:val="21"/>
        </w:rPr>
      </w:pPr>
      <w:r>
        <w:br w:type="page"/>
      </w:r>
      <w:r>
        <w:rPr>
          <w:rFonts w:cs="微软雅黑"/>
          <w:sz w:val="24"/>
          <w:szCs w:val="21"/>
        </w:rPr>
        <w:drawing>
          <wp:anchor distT="180340" distB="180340" distL="114300" distR="114300" simplePos="0" relativeHeight="251678720" behindDoc="0" locked="0" layoutInCell="1" allowOverlap="1">
            <wp:simplePos x="0" y="0"/>
            <wp:positionH relativeFrom="column">
              <wp:posOffset>3810</wp:posOffset>
            </wp:positionH>
            <wp:positionV relativeFrom="paragraph">
              <wp:posOffset>47625</wp:posOffset>
            </wp:positionV>
            <wp:extent cx="5522595" cy="5659120"/>
            <wp:effectExtent l="0" t="0" r="0" b="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522400" cy="5659200"/>
                    </a:xfrm>
                    <a:prstGeom prst="rect">
                      <a:avLst/>
                    </a:prstGeom>
                    <a:noFill/>
                  </pic:spPr>
                </pic:pic>
              </a:graphicData>
            </a:graphic>
          </wp:anchor>
        </w:drawing>
      </w:r>
      <w:r>
        <w:rPr>
          <w:rFonts w:cs="微软雅黑"/>
          <w:sz w:val="24"/>
          <w:szCs w:val="21"/>
        </w:rPr>
        <w:t>图</w:t>
      </w:r>
      <w:r>
        <w:rPr>
          <w:rFonts w:hint="eastAsia" w:cs="微软雅黑"/>
          <w:sz w:val="24"/>
          <w:szCs w:val="21"/>
          <w:lang w:val="en-US" w:eastAsia="zh-CN"/>
        </w:rPr>
        <w:t>1</w:t>
      </w:r>
      <w:r>
        <w:rPr>
          <w:rFonts w:cs="微软雅黑"/>
          <w:sz w:val="24"/>
          <w:szCs w:val="21"/>
        </w:rPr>
        <w:t>.2-2 场地俯视图</w:t>
      </w:r>
    </w:p>
    <w:p>
      <w:pPr>
        <w:pStyle w:val="63"/>
      </w:pPr>
      <w:r>
        <w:t>CO</w:t>
      </w:r>
      <w:r>
        <w:rPr>
          <w:rFonts w:ascii="Cambria Math" w:hAnsi="Cambria Math" w:cs="Cambria Math"/>
        </w:rPr>
        <w:t>₂</w:t>
      </w:r>
      <w:r>
        <w:t>排放区（中央区）</w:t>
      </w:r>
    </w:p>
    <w:p>
      <w:pPr>
        <w:pStyle w:val="30"/>
      </w:pPr>
      <w:r>
        <w:rPr>
          <w:rFonts w:hint="eastAsia"/>
        </w:rPr>
        <w:t>全场仅有</w:t>
      </w:r>
      <w:r>
        <w:t>1处CO</w:t>
      </w:r>
      <w:r>
        <w:rPr>
          <w:rFonts w:ascii="Cambria Math" w:hAnsi="Cambria Math" w:cs="Cambria Math"/>
        </w:rPr>
        <w:t>₂</w:t>
      </w:r>
      <w:r>
        <w:t>排放区（中央区），包括扁铝和八棱柱组成的中央隔栏，以及上方的资源摆放区。中央隔栏下方留有高度为80mm的间隙，仅允许黄色方块和黄色小球通过。摆放区由木板拼接而成，尺寸为2292mm*120mm, 距离地面高度为160mm。</w:t>
      </w:r>
    </w:p>
    <w:p>
      <w:pPr>
        <w:pStyle w:val="30"/>
      </w:pPr>
      <w:r>
        <w:rPr>
          <w:rFonts w:hint="eastAsia"/>
        </w:rPr>
        <w:t>中央区摆放有碳捕捉容器（球类）、防泄漏装置（方块）。黄色方块位于摆放区正中间，两边对称摆放绿色大球、黄色小球。</w:t>
      </w:r>
      <w:r>
        <w:br w:type="page"/>
      </w:r>
    </w:p>
    <w:p>
      <w:pPr>
        <w:widowControl/>
        <w:spacing w:after="156" w:afterLines="50" w:line="240" w:lineRule="auto"/>
        <w:jc w:val="center"/>
        <w:rPr>
          <w:rFonts w:cs="微软雅黑"/>
          <w:sz w:val="24"/>
          <w:szCs w:val="21"/>
        </w:rPr>
      </w:pPr>
      <w:r>
        <w:rPr>
          <w:rFonts w:cs="微软雅黑"/>
          <w:sz w:val="24"/>
          <w:szCs w:val="21"/>
        </w:rPr>
        <w:drawing>
          <wp:anchor distT="180340" distB="180340" distL="114300" distR="114300" simplePos="0" relativeHeight="251665408" behindDoc="0" locked="0" layoutInCell="1" allowOverlap="1">
            <wp:simplePos x="0" y="0"/>
            <wp:positionH relativeFrom="column">
              <wp:posOffset>125730</wp:posOffset>
            </wp:positionH>
            <wp:positionV relativeFrom="paragraph">
              <wp:posOffset>219075</wp:posOffset>
            </wp:positionV>
            <wp:extent cx="5277485" cy="2674620"/>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77600" cy="2674800"/>
                    </a:xfrm>
                    <a:prstGeom prst="rect">
                      <a:avLst/>
                    </a:prstGeom>
                    <a:noFill/>
                  </pic:spPr>
                </pic:pic>
              </a:graphicData>
            </a:graphic>
          </wp:anchor>
        </w:drawing>
      </w:r>
      <w:r>
        <w:rPr>
          <w:rFonts w:hint="eastAsia" w:cs="微软雅黑"/>
          <w:sz w:val="24"/>
          <w:szCs w:val="21"/>
        </w:rPr>
        <w:t>图</w:t>
      </w:r>
      <w:r>
        <w:rPr>
          <w:rFonts w:hint="eastAsia" w:cs="微软雅黑"/>
          <w:sz w:val="24"/>
          <w:szCs w:val="21"/>
          <w:lang w:val="en-US" w:eastAsia="zh-CN"/>
        </w:rPr>
        <w:t>1</w:t>
      </w:r>
      <w:r>
        <w:rPr>
          <w:rFonts w:cs="微软雅黑"/>
          <w:sz w:val="24"/>
          <w:szCs w:val="21"/>
        </w:rPr>
        <w:t>.2-3 CO</w:t>
      </w:r>
      <w:r>
        <w:rPr>
          <w:rFonts w:ascii="Cambria Math" w:hAnsi="Cambria Math" w:cs="Cambria Math"/>
          <w:sz w:val="24"/>
          <w:szCs w:val="21"/>
        </w:rPr>
        <w:t>₂</w:t>
      </w:r>
      <w:r>
        <w:rPr>
          <w:rFonts w:cs="微软雅黑"/>
          <w:sz w:val="24"/>
          <w:szCs w:val="21"/>
        </w:rPr>
        <w:t>排放区（中央区）示意图</w:t>
      </w:r>
    </w:p>
    <w:p>
      <w:pPr>
        <w:pStyle w:val="63"/>
      </w:pPr>
      <w:r>
        <w:rPr>
          <w:rFonts w:hint="eastAsia"/>
        </w:rPr>
        <w:t>启动区</w:t>
      </w:r>
    </w:p>
    <w:p>
      <w:pPr>
        <w:pStyle w:val="30"/>
      </w:pPr>
      <w:r>
        <w:rPr>
          <w:rFonts w:hint="eastAsia"/>
        </w:rPr>
        <w:t>启动区是比赛开始前机器人静止放置的区域，位于场地的四个角落。红蓝方各有</w:t>
      </w:r>
      <w:r>
        <w:t>2个启动区，尺寸为320mm*320mm。</w:t>
      </w:r>
    </w:p>
    <w:p>
      <w:pPr>
        <w:widowControl/>
        <w:spacing w:after="156" w:afterLines="50" w:line="240" w:lineRule="auto"/>
        <w:jc w:val="center"/>
        <w:rPr>
          <w:rFonts w:cs="微软雅黑"/>
          <w:sz w:val="24"/>
          <w:szCs w:val="21"/>
        </w:rPr>
      </w:pPr>
      <w:r>
        <w:drawing>
          <wp:inline distT="0" distB="0" distL="0" distR="0">
            <wp:extent cx="3042285" cy="1524635"/>
            <wp:effectExtent l="0" t="0" r="0" b="0"/>
            <wp:docPr id="17" name="图片 17" descr="图片包含 形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片包含 形状&#10;&#10;描述已自动生成"/>
                    <pic:cNvPicPr>
                      <a:picLocks noChangeAspect="1" noChangeArrowheads="1"/>
                    </pic:cNvPicPr>
                  </pic:nvPicPr>
                  <pic:blipFill>
                    <a:blip r:embed="rId15" cstate="print">
                      <a:extLst>
                        <a:ext uri="{28A0092B-C50C-407E-A947-70E740481C1C}">
                          <a14:useLocalDpi xmlns:a14="http://schemas.microsoft.com/office/drawing/2010/main" val="0"/>
                        </a:ext>
                      </a:extLst>
                    </a:blip>
                    <a:srcRect b="11765"/>
                    <a:stretch>
                      <a:fillRect/>
                    </a:stretch>
                  </pic:blipFill>
                  <pic:spPr>
                    <a:xfrm>
                      <a:off x="0" y="0"/>
                      <a:ext cx="3053308" cy="1530446"/>
                    </a:xfrm>
                    <a:prstGeom prst="rect">
                      <a:avLst/>
                    </a:prstGeom>
                    <a:noFill/>
                  </pic:spPr>
                </pic:pic>
              </a:graphicData>
            </a:graphic>
          </wp:inline>
        </w:drawing>
      </w:r>
    </w:p>
    <w:p>
      <w:pPr>
        <w:widowControl/>
        <w:spacing w:after="156" w:afterLines="50" w:line="240" w:lineRule="auto"/>
        <w:jc w:val="center"/>
        <w:rPr>
          <w:rFonts w:cs="微软雅黑"/>
          <w:sz w:val="24"/>
          <w:szCs w:val="21"/>
        </w:rPr>
      </w:pPr>
      <w:r>
        <w:rPr>
          <w:rFonts w:hint="eastAsia" w:cs="微软雅黑"/>
          <w:sz w:val="24"/>
          <w:szCs w:val="21"/>
        </w:rPr>
        <w:t>图</w:t>
      </w:r>
      <w:r>
        <w:rPr>
          <w:rFonts w:hint="eastAsia" w:cs="微软雅黑"/>
          <w:sz w:val="24"/>
          <w:szCs w:val="21"/>
          <w:lang w:val="en-US" w:eastAsia="zh-CN"/>
        </w:rPr>
        <w:t>1</w:t>
      </w:r>
      <w:r>
        <w:rPr>
          <w:rFonts w:cs="微软雅黑"/>
          <w:sz w:val="24"/>
          <w:szCs w:val="21"/>
        </w:rPr>
        <w:t>.2-4 启动区示意图</w:t>
      </w:r>
    </w:p>
    <w:p>
      <w:pPr>
        <w:widowControl/>
        <w:spacing w:line="240" w:lineRule="auto"/>
        <w:jc w:val="left"/>
        <w:rPr>
          <w:rFonts w:cs="微软雅黑"/>
          <w:sz w:val="24"/>
          <w:szCs w:val="21"/>
        </w:rPr>
      </w:pPr>
      <w:r>
        <w:rPr>
          <w:rFonts w:cs="微软雅黑"/>
          <w:sz w:val="24"/>
          <w:szCs w:val="21"/>
        </w:rPr>
        <w:br w:type="page"/>
      </w:r>
    </w:p>
    <w:p>
      <w:pPr>
        <w:pStyle w:val="63"/>
      </w:pPr>
      <w:r>
        <w:t>CO</w:t>
      </w:r>
      <w:r>
        <w:rPr>
          <w:rFonts w:ascii="Cambria Math" w:hAnsi="Cambria Math" w:cs="Cambria Math"/>
        </w:rPr>
        <w:t>₂</w:t>
      </w:r>
      <w:r>
        <w:t>转化站（球门区）</w:t>
      </w:r>
    </w:p>
    <w:p>
      <w:pPr>
        <w:pStyle w:val="30"/>
        <w:rPr>
          <w:highlight w:val="none"/>
        </w:rPr>
      </w:pPr>
      <w:r>
        <w:rPr>
          <w:rFonts w:hint="eastAsia"/>
        </w:rPr>
        <w:t>红蓝方各有</w:t>
      </w:r>
      <w:r>
        <w:t>1个CO</w:t>
      </w:r>
      <w:r>
        <w:rPr>
          <w:rFonts w:ascii="Cambria Math" w:hAnsi="Cambria Math" w:cs="Cambria Math"/>
        </w:rPr>
        <w:t>₂</w:t>
      </w:r>
      <w:r>
        <w:t>转化站（球门区）。球门区由金属梁和黑色球网组成，球</w:t>
      </w:r>
      <w:r>
        <w:rPr>
          <w:highlight w:val="none"/>
        </w:rPr>
        <w:t>门前方有泡沫胶门槛，两侧有魔术贴粘贴区域用于固定金属梁。</w:t>
      </w:r>
    </w:p>
    <w:p>
      <w:pPr>
        <w:pStyle w:val="30"/>
        <w:rPr>
          <w:rFonts w:hint="eastAsia"/>
          <w:highlight w:val="none"/>
          <w:lang w:eastAsia="zh-CN"/>
        </w:rPr>
      </w:pPr>
      <w:r>
        <w:rPr>
          <w:rFonts w:hint="eastAsia"/>
          <w:highlight w:val="none"/>
          <w:lang w:val="en-US" w:eastAsia="zh-CN"/>
        </w:rPr>
        <w:t>球网状态说明：网边内侧用扎带固定在金属梁上，网边外侧用场地边框压住网边。球网搭建完成后，网面整体呈自然下垂状态。</w:t>
      </w:r>
    </w:p>
    <w:p>
      <w:pPr>
        <w:widowControl/>
        <w:spacing w:after="156" w:afterLines="50" w:line="240" w:lineRule="auto"/>
        <w:jc w:val="center"/>
        <w:rPr>
          <w:rFonts w:cs="微软雅黑"/>
          <w:sz w:val="24"/>
          <w:szCs w:val="21"/>
        </w:rPr>
      </w:pPr>
      <w:r>
        <w:rPr>
          <w:color w:val="auto"/>
          <w:highlight w:val="green"/>
        </w:rPr>
        <w:drawing>
          <wp:anchor distT="180340" distB="180340" distL="114300" distR="114300" simplePos="0" relativeHeight="251666432" behindDoc="0" locked="0" layoutInCell="1" allowOverlap="1">
            <wp:simplePos x="0" y="0"/>
            <wp:positionH relativeFrom="column">
              <wp:posOffset>187325</wp:posOffset>
            </wp:positionH>
            <wp:positionV relativeFrom="paragraph">
              <wp:posOffset>245110</wp:posOffset>
            </wp:positionV>
            <wp:extent cx="4911725" cy="3761105"/>
            <wp:effectExtent l="0" t="0" r="3175" b="0"/>
            <wp:wrapTopAndBottom/>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911725" cy="3761105"/>
                    </a:xfrm>
                    <a:prstGeom prst="rect">
                      <a:avLst/>
                    </a:prstGeom>
                    <a:noFill/>
                  </pic:spPr>
                </pic:pic>
              </a:graphicData>
            </a:graphic>
          </wp:anchor>
        </w:drawing>
      </w:r>
      <w:r>
        <w:rPr>
          <w:rFonts w:cs="微软雅黑"/>
          <w:sz w:val="24"/>
          <w:szCs w:val="21"/>
        </w:rPr>
        <w:drawing>
          <wp:anchor distT="180340" distB="180340" distL="114300" distR="114300" simplePos="0" relativeHeight="251667456" behindDoc="0" locked="0" layoutInCell="1" allowOverlap="1">
            <wp:simplePos x="0" y="0"/>
            <wp:positionH relativeFrom="column">
              <wp:posOffset>229870</wp:posOffset>
            </wp:positionH>
            <wp:positionV relativeFrom="paragraph">
              <wp:posOffset>4678680</wp:posOffset>
            </wp:positionV>
            <wp:extent cx="5076190" cy="2260600"/>
            <wp:effectExtent l="0" t="0" r="0" b="6350"/>
            <wp:wrapTopAndBottom/>
            <wp:docPr id="10" name="Picture 10" descr="Generated"/>
            <wp:cNvGraphicFramePr/>
            <a:graphic xmlns:a="http://schemas.openxmlformats.org/drawingml/2006/main">
              <a:graphicData uri="http://schemas.openxmlformats.org/drawingml/2006/picture">
                <pic:pic xmlns:pic="http://schemas.openxmlformats.org/drawingml/2006/picture">
                  <pic:nvPicPr>
                    <pic:cNvPr id="10" name="Picture 10" descr="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076000" cy="2260800"/>
                    </a:xfrm>
                    <a:prstGeom prst="rect">
                      <a:avLst/>
                    </a:prstGeom>
                    <a:noFill/>
                  </pic:spPr>
                </pic:pic>
              </a:graphicData>
            </a:graphic>
          </wp:anchor>
        </w:drawing>
      </w:r>
      <w:r>
        <w:rPr>
          <w:rFonts w:cs="微软雅黑"/>
          <w:sz w:val="24"/>
          <w:szCs w:val="21"/>
        </w:rPr>
        <w:t>图</w:t>
      </w:r>
      <w:r>
        <w:rPr>
          <w:rFonts w:hint="eastAsia" w:cs="微软雅黑"/>
          <w:sz w:val="24"/>
          <w:szCs w:val="21"/>
          <w:lang w:val="en-US" w:eastAsia="zh-CN"/>
        </w:rPr>
        <w:t>1</w:t>
      </w:r>
      <w:r>
        <w:rPr>
          <w:rFonts w:cs="微软雅黑"/>
          <w:sz w:val="24"/>
          <w:szCs w:val="21"/>
        </w:rPr>
        <w:t>.2-5 球门区示意图</w:t>
      </w:r>
    </w:p>
    <w:p>
      <w:pPr>
        <w:widowControl/>
        <w:spacing w:after="156" w:afterLines="50" w:line="240" w:lineRule="auto"/>
        <w:jc w:val="center"/>
        <w:rPr>
          <w:rFonts w:cs="微软雅黑"/>
          <w:sz w:val="24"/>
          <w:szCs w:val="21"/>
        </w:rPr>
      </w:pPr>
      <w:r>
        <w:rPr>
          <w:rFonts w:hint="eastAsia" w:cs="微软雅黑"/>
          <w:sz w:val="24"/>
          <w:szCs w:val="21"/>
        </w:rPr>
        <w:t>图</w:t>
      </w:r>
      <w:r>
        <w:rPr>
          <w:rFonts w:hint="eastAsia" w:cs="微软雅黑"/>
          <w:sz w:val="24"/>
          <w:szCs w:val="21"/>
          <w:lang w:val="en-US" w:eastAsia="zh-CN"/>
        </w:rPr>
        <w:t>1</w:t>
      </w:r>
      <w:r>
        <w:rPr>
          <w:rFonts w:cs="微软雅黑"/>
          <w:sz w:val="24"/>
          <w:szCs w:val="21"/>
        </w:rPr>
        <w:t>.2-6 球门区轴侧图</w:t>
      </w:r>
    </w:p>
    <w:p>
      <w:pPr>
        <w:pStyle w:val="63"/>
      </w:pPr>
      <w:r>
        <w:rPr>
          <w:rFonts w:hint="eastAsia"/>
        </w:rPr>
        <w:t>迈迈旗筒</w:t>
      </w:r>
    </w:p>
    <w:p>
      <w:pPr>
        <w:pStyle w:val="30"/>
      </w:pPr>
      <w:r>
        <w:drawing>
          <wp:anchor distT="180340" distB="180340" distL="114300" distR="114300" simplePos="0" relativeHeight="251668480" behindDoc="0" locked="0" layoutInCell="1" allowOverlap="1">
            <wp:simplePos x="0" y="0"/>
            <wp:positionH relativeFrom="column">
              <wp:posOffset>1736725</wp:posOffset>
            </wp:positionH>
            <wp:positionV relativeFrom="paragraph">
              <wp:posOffset>1000125</wp:posOffset>
            </wp:positionV>
            <wp:extent cx="1800225" cy="1932940"/>
            <wp:effectExtent l="0" t="0" r="0" b="0"/>
            <wp:wrapTopAndBottom/>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800000" cy="1933200"/>
                    </a:xfrm>
                    <a:prstGeom prst="rect">
                      <a:avLst/>
                    </a:prstGeom>
                    <a:noFill/>
                  </pic:spPr>
                </pic:pic>
              </a:graphicData>
            </a:graphic>
          </wp:anchor>
        </w:drawing>
      </w:r>
      <w:r>
        <w:rPr>
          <w:rFonts w:hint="eastAsia"/>
        </w:rPr>
        <w:t>红蓝方各有</w:t>
      </w:r>
      <w:r>
        <w:t>2个迈迈旗筒。迈迈旗筒包括迈迈玩偶、旗筒、底座三个部分。旗筒和玩偶均通过螺丝固定在旗筒底座上，底座再通过魔术贴粘贴在地图上。旗筒内径46mm，高58mm。</w:t>
      </w:r>
    </w:p>
    <w:p>
      <w:pPr>
        <w:widowControl/>
        <w:spacing w:after="156" w:afterLines="50" w:line="240" w:lineRule="auto"/>
        <w:jc w:val="center"/>
        <w:rPr>
          <w:rFonts w:cs="微软雅黑"/>
          <w:sz w:val="24"/>
          <w:szCs w:val="21"/>
        </w:rPr>
      </w:pPr>
      <w:r>
        <w:rPr>
          <w:rFonts w:cs="微软雅黑"/>
          <w:sz w:val="24"/>
          <w:szCs w:val="21"/>
        </w:rPr>
        <w:t>图</w:t>
      </w:r>
      <w:r>
        <w:rPr>
          <w:rFonts w:hint="eastAsia" w:cs="微软雅黑"/>
          <w:sz w:val="24"/>
          <w:szCs w:val="21"/>
          <w:lang w:val="en-US" w:eastAsia="zh-CN"/>
        </w:rPr>
        <w:t>1</w:t>
      </w:r>
      <w:r>
        <w:rPr>
          <w:rFonts w:cs="微软雅黑"/>
          <w:sz w:val="24"/>
          <w:szCs w:val="21"/>
        </w:rPr>
        <w:t>.2-7 迈迈旗筒示意图</w:t>
      </w:r>
    </w:p>
    <w:p>
      <w:pPr>
        <w:pStyle w:val="63"/>
      </w:pPr>
      <w:r>
        <w:t>防泄漏装置区（装置区）</w:t>
      </w:r>
    </w:p>
    <w:p>
      <w:pPr>
        <w:ind w:firstLine="420"/>
        <w:jc w:val="left"/>
        <w:rPr>
          <w:rFonts w:cs="微软雅黑"/>
          <w:color w:val="000000" w:themeColor="text1"/>
          <w:sz w:val="24"/>
          <w:szCs w:val="21"/>
          <w14:textFill>
            <w14:solidFill>
              <w14:schemeClr w14:val="tx1"/>
            </w14:solidFill>
          </w14:textFill>
        </w:rPr>
      </w:pPr>
      <w:r>
        <w:rPr>
          <w:rFonts w:cs="微软雅黑"/>
          <w:color w:val="000000" w:themeColor="text1"/>
          <w:sz w:val="24"/>
          <w:szCs w:val="21"/>
          <w14:textFill>
            <w14:solidFill>
              <w14:schemeClr w14:val="tx1"/>
            </w14:solidFill>
          </w14:textFill>
        </w:rPr>
        <w:drawing>
          <wp:anchor distT="180340" distB="180340" distL="114300" distR="114300" simplePos="0" relativeHeight="251669504" behindDoc="0" locked="0" layoutInCell="1" allowOverlap="1">
            <wp:simplePos x="0" y="0"/>
            <wp:positionH relativeFrom="column">
              <wp:posOffset>1905</wp:posOffset>
            </wp:positionH>
            <wp:positionV relativeFrom="paragraph">
              <wp:posOffset>697230</wp:posOffset>
            </wp:positionV>
            <wp:extent cx="5522595" cy="1340485"/>
            <wp:effectExtent l="0" t="0" r="1905" b="0"/>
            <wp:wrapTopAndBottom/>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9">
                      <a:extLst>
                        <a:ext uri="{28A0092B-C50C-407E-A947-70E740481C1C}">
                          <a14:useLocalDpi xmlns:a14="http://schemas.microsoft.com/office/drawing/2010/main" val="0"/>
                        </a:ext>
                      </a:extLst>
                    </a:blip>
                    <a:srcRect b="11968"/>
                    <a:stretch>
                      <a:fillRect/>
                    </a:stretch>
                  </pic:blipFill>
                  <pic:spPr>
                    <a:xfrm>
                      <a:off x="0" y="0"/>
                      <a:ext cx="5522400" cy="1340485"/>
                    </a:xfrm>
                    <a:prstGeom prst="rect">
                      <a:avLst/>
                    </a:prstGeom>
                    <a:noFill/>
                  </pic:spPr>
                </pic:pic>
              </a:graphicData>
            </a:graphic>
          </wp:anchor>
        </w:drawing>
      </w:r>
      <w:r>
        <w:rPr>
          <w:rFonts w:cs="微软雅黑"/>
          <w:color w:val="000000" w:themeColor="text1"/>
          <w:sz w:val="24"/>
          <w:szCs w:val="21"/>
          <w14:textFill>
            <w14:solidFill>
              <w14:schemeClr w14:val="tx1"/>
            </w14:solidFill>
          </w14:textFill>
        </w:rPr>
        <w:t>防泄漏装置区（装置区）是位于球门正前方的长方形区域，红蓝方各有1个装置区，尺寸为1070mm*100mm。</w:t>
      </w:r>
    </w:p>
    <w:p>
      <w:pPr>
        <w:widowControl/>
        <w:spacing w:after="156" w:afterLines="50" w:line="240" w:lineRule="auto"/>
        <w:jc w:val="center"/>
        <w:rPr>
          <w:rFonts w:cs="微软雅黑"/>
          <w:sz w:val="24"/>
          <w:szCs w:val="21"/>
        </w:rPr>
      </w:pPr>
      <w:r>
        <w:rPr>
          <w:rFonts w:cs="微软雅黑"/>
          <w:sz w:val="24"/>
          <w:szCs w:val="21"/>
        </w:rPr>
        <w:t>图</w:t>
      </w:r>
      <w:r>
        <w:rPr>
          <w:rFonts w:hint="eastAsia" w:cs="微软雅黑"/>
          <w:sz w:val="24"/>
          <w:szCs w:val="21"/>
          <w:lang w:val="en-US" w:eastAsia="zh-CN"/>
        </w:rPr>
        <w:t>1</w:t>
      </w:r>
      <w:r>
        <w:rPr>
          <w:rFonts w:cs="微软雅黑"/>
          <w:sz w:val="24"/>
          <w:szCs w:val="21"/>
        </w:rPr>
        <w:t>.2-8 装置区示意图</w:t>
      </w:r>
    </w:p>
    <w:p>
      <w:pPr>
        <w:pStyle w:val="63"/>
      </w:pPr>
      <w:r>
        <w:rPr>
          <w:rFonts w:hint="eastAsia"/>
        </w:rPr>
        <w:t>生产区</w:t>
      </w:r>
      <w:r>
        <w:t xml:space="preserve"> </w:t>
      </w:r>
    </w:p>
    <w:p>
      <w:pPr>
        <w:pStyle w:val="30"/>
      </w:pPr>
      <w:r>
        <w:rPr>
          <w:rFonts w:hint="eastAsia"/>
        </w:rPr>
        <w:t>红蓝方各有</w:t>
      </w:r>
      <w:r>
        <w:t>1处生产区，包括菱形区域和方块线框。生产区内摆放防泄漏装置（黄色方块）和碳捕捉容器（球类）。菱形区域四周留有10mm宽的区域粘贴魔术贴。方块线框4个，在比赛开始前会通过抽签方式抽取其中2个摆放防泄漏装置。</w:t>
      </w:r>
    </w:p>
    <w:p>
      <w:pPr>
        <w:widowControl/>
        <w:spacing w:after="156" w:afterLines="50" w:line="240" w:lineRule="auto"/>
        <w:jc w:val="center"/>
        <w:rPr>
          <w:rFonts w:cs="微软雅黑"/>
          <w:sz w:val="24"/>
          <w:szCs w:val="21"/>
        </w:rPr>
      </w:pPr>
      <w:r>
        <w:rPr>
          <w:rFonts w:cs="微软雅黑"/>
          <w:sz w:val="24"/>
          <w:szCs w:val="21"/>
        </w:rPr>
        <w:drawing>
          <wp:anchor distT="180340" distB="180340" distL="114300" distR="114300" simplePos="0" relativeHeight="251670528" behindDoc="0" locked="0" layoutInCell="1" allowOverlap="1">
            <wp:simplePos x="0" y="0"/>
            <wp:positionH relativeFrom="column">
              <wp:posOffset>-69850</wp:posOffset>
            </wp:positionH>
            <wp:positionV relativeFrom="paragraph">
              <wp:posOffset>210185</wp:posOffset>
            </wp:positionV>
            <wp:extent cx="5277485" cy="2930525"/>
            <wp:effectExtent l="0" t="0" r="0" b="3810"/>
            <wp:wrapTopAndBottom/>
            <wp:docPr id="13" name="Picture 13" descr="Generated"/>
            <wp:cNvGraphicFramePr/>
            <a:graphic xmlns:a="http://schemas.openxmlformats.org/drawingml/2006/main">
              <a:graphicData uri="http://schemas.openxmlformats.org/drawingml/2006/picture">
                <pic:pic xmlns:pic="http://schemas.openxmlformats.org/drawingml/2006/picture">
                  <pic:nvPicPr>
                    <pic:cNvPr id="13" name="Picture 13" descr="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77600" cy="2930400"/>
                    </a:xfrm>
                    <a:prstGeom prst="rect">
                      <a:avLst/>
                    </a:prstGeom>
                  </pic:spPr>
                </pic:pic>
              </a:graphicData>
            </a:graphic>
          </wp:anchor>
        </w:drawing>
      </w:r>
      <w:r>
        <w:rPr>
          <w:rFonts w:cs="微软雅黑"/>
          <w:sz w:val="24"/>
          <w:szCs w:val="21"/>
        </w:rPr>
        <w:t>图</w:t>
      </w:r>
      <w:r>
        <w:rPr>
          <w:rFonts w:hint="eastAsia" w:cs="微软雅黑"/>
          <w:sz w:val="24"/>
          <w:szCs w:val="21"/>
          <w:lang w:val="en-US" w:eastAsia="zh-CN"/>
        </w:rPr>
        <w:t>1</w:t>
      </w:r>
      <w:r>
        <w:rPr>
          <w:rFonts w:cs="微软雅黑"/>
          <w:sz w:val="24"/>
          <w:szCs w:val="21"/>
        </w:rPr>
        <w:t>.2-9 生产区示意图</w:t>
      </w:r>
    </w:p>
    <w:p>
      <w:pPr>
        <w:pStyle w:val="63"/>
      </w:pPr>
      <w:r>
        <w:rPr>
          <w:rFonts w:hint="eastAsia"/>
          <w:lang w:val="en-US" w:eastAsia="zh-CN"/>
        </w:rPr>
        <w:t>旗帜放置</w:t>
      </w:r>
      <w:r>
        <w:rPr>
          <w:rFonts w:hint="eastAsia"/>
        </w:rPr>
        <w:t>区</w:t>
      </w:r>
      <w:r>
        <w:t xml:space="preserve"> </w:t>
      </w:r>
    </w:p>
    <w:p>
      <w:pPr>
        <w:pStyle w:val="30"/>
        <w:rPr>
          <w:rFonts w:hint="eastAsia" w:eastAsia="思源黑体 CN Regular"/>
          <w:highlight w:val="none"/>
          <w:lang w:eastAsia="zh-CN"/>
        </w:rPr>
      </w:pPr>
      <w:r>
        <w:rPr>
          <w:rFonts w:hint="eastAsia" w:eastAsia="思源黑体 CN Regular"/>
          <w:highlight w:val="none"/>
          <w:lang w:eastAsia="zh-CN"/>
        </w:rPr>
        <w:drawing>
          <wp:anchor distT="0" distB="0" distL="114300" distR="114300" simplePos="0" relativeHeight="251685888" behindDoc="0" locked="0" layoutInCell="1" allowOverlap="1">
            <wp:simplePos x="0" y="0"/>
            <wp:positionH relativeFrom="column">
              <wp:posOffset>-27305</wp:posOffset>
            </wp:positionH>
            <wp:positionV relativeFrom="paragraph">
              <wp:posOffset>1097915</wp:posOffset>
            </wp:positionV>
            <wp:extent cx="5261610" cy="2177415"/>
            <wp:effectExtent l="0" t="0" r="15240" b="13335"/>
            <wp:wrapTopAndBottom/>
            <wp:docPr id="21" name="图片 21" descr="1670658145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670658145273"/>
                    <pic:cNvPicPr>
                      <a:picLocks noChangeAspect="1"/>
                    </pic:cNvPicPr>
                  </pic:nvPicPr>
                  <pic:blipFill>
                    <a:blip r:embed="rId21"/>
                    <a:stretch>
                      <a:fillRect/>
                    </a:stretch>
                  </pic:blipFill>
                  <pic:spPr>
                    <a:xfrm>
                      <a:off x="0" y="0"/>
                      <a:ext cx="5261610" cy="2177415"/>
                    </a:xfrm>
                    <a:prstGeom prst="rect">
                      <a:avLst/>
                    </a:prstGeom>
                  </pic:spPr>
                </pic:pic>
              </a:graphicData>
            </a:graphic>
          </wp:anchor>
        </w:drawing>
      </w:r>
      <w:r>
        <w:rPr>
          <w:rFonts w:hint="eastAsia"/>
          <w:highlight w:val="none"/>
        </w:rPr>
        <w:t>红蓝方各有</w:t>
      </w:r>
      <w:r>
        <w:rPr>
          <w:rFonts w:hint="eastAsia"/>
          <w:highlight w:val="none"/>
          <w:lang w:val="en-US" w:eastAsia="zh-CN"/>
        </w:rPr>
        <w:t>2</w:t>
      </w:r>
      <w:r>
        <w:rPr>
          <w:highlight w:val="none"/>
        </w:rPr>
        <w:t>处</w:t>
      </w:r>
      <w:r>
        <w:rPr>
          <w:rFonts w:hint="eastAsia"/>
          <w:highlight w:val="none"/>
          <w:lang w:val="en-US" w:eastAsia="zh-CN"/>
        </w:rPr>
        <w:t>旗帜放置</w:t>
      </w:r>
      <w:r>
        <w:rPr>
          <w:highlight w:val="none"/>
        </w:rPr>
        <w:t>区，</w:t>
      </w:r>
      <w:r>
        <w:rPr>
          <w:rFonts w:hint="eastAsia"/>
          <w:highlight w:val="none"/>
          <w:lang w:val="en-US" w:eastAsia="zh-CN"/>
        </w:rPr>
        <w:t>为靠近两侧边框的方形线框区域</w:t>
      </w:r>
      <w:r>
        <w:rPr>
          <w:highlight w:val="none"/>
        </w:rPr>
        <w:t>。</w:t>
      </w:r>
      <w:r>
        <w:rPr>
          <w:rFonts w:hint="eastAsia"/>
          <w:highlight w:val="none"/>
          <w:lang w:val="en-US" w:eastAsia="zh-CN"/>
        </w:rPr>
        <w:t>旗帜放置区用来放置参赛队伍自制的旗帜道具，全场共计4个，红、蓝双方各2个。比赛开始前，选手需要将自己的自制旗帜道具放置在该位置；自制旗帜道具的底面必须完全进入此区域并呈现直立状态。</w:t>
      </w:r>
    </w:p>
    <w:p>
      <w:pPr>
        <w:widowControl/>
        <w:spacing w:after="156" w:afterLines="50" w:line="240" w:lineRule="auto"/>
        <w:jc w:val="center"/>
        <w:rPr>
          <w:rFonts w:cs="微软雅黑"/>
          <w:sz w:val="24"/>
          <w:szCs w:val="21"/>
        </w:rPr>
      </w:pPr>
      <w:r>
        <w:rPr>
          <w:rFonts w:cs="微软雅黑"/>
          <w:sz w:val="24"/>
          <w:szCs w:val="21"/>
        </w:rPr>
        <w:t>图</w:t>
      </w:r>
      <w:r>
        <w:rPr>
          <w:rFonts w:hint="eastAsia" w:cs="微软雅黑"/>
          <w:sz w:val="24"/>
          <w:szCs w:val="21"/>
          <w:lang w:val="en-US" w:eastAsia="zh-CN"/>
        </w:rPr>
        <w:t>1</w:t>
      </w:r>
      <w:r>
        <w:rPr>
          <w:rFonts w:cs="微软雅黑"/>
          <w:sz w:val="24"/>
          <w:szCs w:val="21"/>
        </w:rPr>
        <w:t>.2-</w:t>
      </w:r>
      <w:r>
        <w:rPr>
          <w:rFonts w:hint="eastAsia" w:cs="微软雅黑"/>
          <w:sz w:val="24"/>
          <w:szCs w:val="21"/>
          <w:lang w:val="en-US" w:eastAsia="zh-CN"/>
        </w:rPr>
        <w:t>10</w:t>
      </w:r>
      <w:r>
        <w:rPr>
          <w:rFonts w:cs="微软雅黑"/>
          <w:sz w:val="24"/>
          <w:szCs w:val="21"/>
        </w:rPr>
        <w:t xml:space="preserve"> </w:t>
      </w:r>
      <w:r>
        <w:rPr>
          <w:rFonts w:hint="eastAsia" w:cs="微软雅黑"/>
          <w:sz w:val="24"/>
          <w:szCs w:val="21"/>
          <w:lang w:val="en-US" w:eastAsia="zh-CN"/>
        </w:rPr>
        <w:t>旗帜放置</w:t>
      </w:r>
      <w:r>
        <w:rPr>
          <w:rFonts w:cs="微软雅黑"/>
          <w:sz w:val="24"/>
          <w:szCs w:val="21"/>
        </w:rPr>
        <w:t>区示意图</w:t>
      </w:r>
    </w:p>
    <w:p>
      <w:pPr>
        <w:pStyle w:val="81"/>
      </w:pPr>
      <w:bookmarkStart w:id="3" w:name="_Toc3570"/>
      <w:r>
        <w:rPr>
          <w:rFonts w:hint="eastAsia"/>
        </w:rPr>
        <w:t>道具清单</w:t>
      </w:r>
      <w:bookmarkEnd w:id="3"/>
    </w:p>
    <w:p>
      <w:pPr>
        <w:pStyle w:val="63"/>
      </w:pPr>
      <w:r>
        <w:rPr>
          <w:rFonts w:hint="eastAsia"/>
        </w:rPr>
        <w:t>碳捕捉容器（球类）</w:t>
      </w:r>
    </w:p>
    <w:p>
      <w:pPr>
        <w:pStyle w:val="30"/>
      </w:pPr>
      <w:r>
        <w:rPr>
          <w:rFonts w:hint="eastAsia"/>
        </w:rPr>
        <w:t>碳捕捉容器为场上的黄色小球和绿色大球，初始摆放位置位于中央区和生产区。</w:t>
      </w:r>
    </w:p>
    <w:p>
      <w:pPr>
        <w:pStyle w:val="30"/>
      </w:pPr>
      <w:r>
        <w:drawing>
          <wp:anchor distT="180340" distB="180340" distL="114300" distR="114300" simplePos="0" relativeHeight="251671552" behindDoc="0" locked="0" layoutInCell="1" allowOverlap="1">
            <wp:simplePos x="0" y="0"/>
            <wp:positionH relativeFrom="column">
              <wp:posOffset>1144905</wp:posOffset>
            </wp:positionH>
            <wp:positionV relativeFrom="paragraph">
              <wp:posOffset>908050</wp:posOffset>
            </wp:positionV>
            <wp:extent cx="3409315" cy="2026920"/>
            <wp:effectExtent l="0" t="0" r="1270" b="0"/>
            <wp:wrapTopAndBottom/>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409200" cy="2026800"/>
                    </a:xfrm>
                    <a:prstGeom prst="rect">
                      <a:avLst/>
                    </a:prstGeom>
                    <a:noFill/>
                  </pic:spPr>
                </pic:pic>
              </a:graphicData>
            </a:graphic>
          </wp:anchor>
        </w:drawing>
      </w:r>
      <w:r>
        <w:rPr>
          <w:rFonts w:hint="eastAsia"/>
        </w:rPr>
        <w:t>材质：</w:t>
      </w:r>
      <w:r>
        <w:t>EVA；尺寸：黄色小球直径为70mm，绿色大球直径为100mm</w:t>
      </w:r>
      <w:r>
        <w:rPr>
          <w:rFonts w:hint="eastAsia"/>
        </w:rPr>
        <w:t>；</w:t>
      </w:r>
      <w:r>
        <w:t>数量：黄色小球全场共16个；绿色大球全场共6个。</w:t>
      </w:r>
    </w:p>
    <w:p>
      <w:pPr>
        <w:widowControl/>
        <w:spacing w:after="156" w:afterLines="50" w:line="240" w:lineRule="auto"/>
        <w:jc w:val="center"/>
        <w:rPr>
          <w:rFonts w:cs="微软雅黑"/>
          <w:sz w:val="24"/>
          <w:szCs w:val="21"/>
        </w:rPr>
      </w:pPr>
      <w:r>
        <w:rPr>
          <w:rFonts w:hint="eastAsia" w:cs="微软雅黑"/>
          <w:sz w:val="24"/>
          <w:szCs w:val="21"/>
        </w:rPr>
        <w:t>图</w:t>
      </w:r>
      <w:r>
        <w:rPr>
          <w:rFonts w:hint="eastAsia" w:cs="微软雅黑"/>
          <w:sz w:val="24"/>
          <w:szCs w:val="21"/>
          <w:lang w:val="en-US" w:eastAsia="zh-CN"/>
        </w:rPr>
        <w:t>1</w:t>
      </w:r>
      <w:r>
        <w:rPr>
          <w:rFonts w:cs="微软雅黑"/>
          <w:sz w:val="24"/>
          <w:szCs w:val="21"/>
        </w:rPr>
        <w:t>.3-1 碳捕捉容器（球类）</w:t>
      </w:r>
    </w:p>
    <w:p>
      <w:pPr>
        <w:widowControl/>
        <w:spacing w:after="156" w:afterLines="50" w:line="240" w:lineRule="auto"/>
        <w:jc w:val="center"/>
        <w:rPr>
          <w:rFonts w:cs="微软雅黑"/>
          <w:sz w:val="24"/>
          <w:szCs w:val="21"/>
        </w:rPr>
      </w:pPr>
    </w:p>
    <w:p>
      <w:pPr>
        <w:pStyle w:val="63"/>
      </w:pPr>
      <w:r>
        <w:rPr>
          <w:rFonts w:hint="eastAsia"/>
        </w:rPr>
        <w:t>防泄漏装置（方块）</w:t>
      </w:r>
    </w:p>
    <w:p>
      <w:pPr>
        <w:pStyle w:val="30"/>
      </w:pPr>
      <w:r>
        <w:drawing>
          <wp:anchor distT="180340" distB="180340" distL="114300" distR="114300" simplePos="0" relativeHeight="251672576" behindDoc="0" locked="0" layoutInCell="1" allowOverlap="1">
            <wp:simplePos x="0" y="0"/>
            <wp:positionH relativeFrom="column">
              <wp:posOffset>1371600</wp:posOffset>
            </wp:positionH>
            <wp:positionV relativeFrom="paragraph">
              <wp:posOffset>726440</wp:posOffset>
            </wp:positionV>
            <wp:extent cx="2678430" cy="1580515"/>
            <wp:effectExtent l="0" t="0" r="8255" b="1270"/>
            <wp:wrapTopAndBottom/>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678400" cy="1580400"/>
                    </a:xfrm>
                    <a:prstGeom prst="rect">
                      <a:avLst/>
                    </a:prstGeom>
                    <a:noFill/>
                  </pic:spPr>
                </pic:pic>
              </a:graphicData>
            </a:graphic>
          </wp:anchor>
        </w:drawing>
      </w:r>
      <w:r>
        <w:rPr>
          <w:rFonts w:hint="eastAsia"/>
        </w:rPr>
        <w:t>防泄漏装置为黄色方块。材质：</w:t>
      </w:r>
      <w:r>
        <w:t>EVA；尺寸：边长70mm；数量：全场共5个，其中双方生产区内各2个，中央区1个。</w:t>
      </w:r>
    </w:p>
    <w:p>
      <w:pPr>
        <w:widowControl/>
        <w:spacing w:after="156" w:afterLines="50" w:line="240" w:lineRule="auto"/>
        <w:jc w:val="center"/>
        <w:rPr>
          <w:rFonts w:cs="微软雅黑"/>
          <w:sz w:val="24"/>
          <w:szCs w:val="21"/>
        </w:rPr>
      </w:pPr>
      <w:r>
        <w:rPr>
          <w:rFonts w:cs="微软雅黑"/>
          <w:sz w:val="24"/>
          <w:szCs w:val="21"/>
        </w:rPr>
        <w:t>图</w:t>
      </w:r>
      <w:r>
        <w:rPr>
          <w:rFonts w:hint="eastAsia" w:cs="微软雅黑"/>
          <w:sz w:val="24"/>
          <w:szCs w:val="21"/>
          <w:lang w:val="en-US" w:eastAsia="zh-CN"/>
        </w:rPr>
        <w:t>1</w:t>
      </w:r>
      <w:r>
        <w:rPr>
          <w:rFonts w:cs="微软雅黑"/>
          <w:sz w:val="24"/>
          <w:szCs w:val="21"/>
        </w:rPr>
        <w:t>.3-2 防泄漏装置（方块）</w:t>
      </w:r>
    </w:p>
    <w:p>
      <w:pPr>
        <w:pStyle w:val="63"/>
      </w:pPr>
      <w:r>
        <w:rPr>
          <w:rFonts w:hint="eastAsia"/>
        </w:rPr>
        <w:t>环保旗帜</w:t>
      </w:r>
    </w:p>
    <w:p>
      <w:pPr>
        <w:pStyle w:val="30"/>
        <w:rPr>
          <w:highlight w:val="none"/>
        </w:rPr>
      </w:pPr>
      <w:r>
        <w:rPr>
          <w:rFonts w:hint="eastAsia"/>
          <w:highlight w:val="none"/>
        </w:rPr>
        <w:t>环保旗帜由队伍自行制作。</w:t>
      </w:r>
      <w:r>
        <w:rPr>
          <w:rFonts w:hint="eastAsia"/>
          <w:highlight w:val="none"/>
          <w:lang w:val="en-US" w:eastAsia="zh-CN"/>
        </w:rPr>
        <w:t>旗帜须由旗面和旗杆组成，可含底座，底座与旗杆不可分离。</w:t>
      </w:r>
      <w:r>
        <w:rPr>
          <w:rFonts w:hint="eastAsia"/>
          <w:highlight w:val="none"/>
        </w:rPr>
        <w:t>旗面尺寸不小于80mm（长）*60mm（宽）</w:t>
      </w:r>
      <w:r>
        <w:rPr>
          <w:rFonts w:hint="eastAsia"/>
          <w:highlight w:val="none"/>
          <w:lang w:eastAsia="zh-CN"/>
        </w:rPr>
        <w:t>；</w:t>
      </w:r>
      <w:r>
        <w:rPr>
          <w:highlight w:val="none"/>
        </w:rPr>
        <w:t>旗杆</w:t>
      </w:r>
      <w:r>
        <w:rPr>
          <w:rFonts w:hint="eastAsia"/>
          <w:highlight w:val="none"/>
          <w:lang w:val="en-US" w:eastAsia="zh-CN"/>
        </w:rPr>
        <w:t>及底座尺寸须</w:t>
      </w:r>
      <w:r>
        <w:rPr>
          <w:highlight w:val="none"/>
        </w:rPr>
        <w:t>小于</w:t>
      </w:r>
      <w:r>
        <w:rPr>
          <w:rFonts w:hint="eastAsia"/>
          <w:highlight w:val="none"/>
          <w:lang w:val="en-US" w:eastAsia="zh-CN"/>
        </w:rPr>
        <w:t>30mm</w:t>
      </w:r>
      <w:r>
        <w:rPr>
          <w:highlight w:val="none"/>
        </w:rPr>
        <w:t>*</w:t>
      </w:r>
      <w:r>
        <w:rPr>
          <w:rFonts w:hint="eastAsia"/>
          <w:highlight w:val="none"/>
          <w:lang w:val="en-US" w:eastAsia="zh-CN"/>
        </w:rPr>
        <w:t>30mm，</w:t>
      </w:r>
      <w:r>
        <w:rPr>
          <w:highlight w:val="none"/>
        </w:rPr>
        <w:t>长度不小于100mm</w:t>
      </w:r>
      <w:r>
        <w:rPr>
          <w:rFonts w:hint="eastAsia"/>
          <w:highlight w:val="none"/>
          <w:lang w:eastAsia="zh-CN"/>
        </w:rPr>
        <w:t>。</w:t>
      </w:r>
      <w:r>
        <w:rPr>
          <w:highlight w:val="none"/>
        </w:rPr>
        <w:t>具体制作规范请参考</w:t>
      </w:r>
      <w:r>
        <w:rPr>
          <w:rFonts w:hint="eastAsia"/>
          <w:highlight w:val="none"/>
        </w:rPr>
        <w:t>“</w:t>
      </w:r>
      <w:r>
        <w:rPr>
          <w:highlight w:val="none"/>
        </w:rPr>
        <w:t>5.2 环保旗帜规范</w:t>
      </w:r>
      <w:r>
        <w:rPr>
          <w:rFonts w:hint="eastAsia"/>
          <w:highlight w:val="none"/>
        </w:rPr>
        <w:t>”。</w:t>
      </w:r>
    </w:p>
    <w:p>
      <w:pPr>
        <w:widowControl/>
        <w:spacing w:after="156" w:afterLines="50" w:line="240" w:lineRule="auto"/>
        <w:jc w:val="center"/>
        <w:rPr>
          <w:rFonts w:cs="微软雅黑"/>
          <w:sz w:val="24"/>
          <w:szCs w:val="21"/>
        </w:rPr>
      </w:pPr>
      <w:r>
        <w:rPr>
          <w:rFonts w:ascii="Times New Roman" w:hAnsi="Times New Roman" w:eastAsia="宋体" w:cs="Times New Roman"/>
          <w:sz w:val="22"/>
        </w:rPr>
        <w:drawing>
          <wp:anchor distT="180340" distB="180340" distL="114300" distR="114300" simplePos="0" relativeHeight="251673600" behindDoc="0" locked="0" layoutInCell="1" allowOverlap="1">
            <wp:simplePos x="0" y="0"/>
            <wp:positionH relativeFrom="column">
              <wp:posOffset>2103120</wp:posOffset>
            </wp:positionH>
            <wp:positionV relativeFrom="paragraph">
              <wp:posOffset>28575</wp:posOffset>
            </wp:positionV>
            <wp:extent cx="1332230" cy="1522730"/>
            <wp:effectExtent l="0" t="0" r="1905" b="1270"/>
            <wp:wrapTopAndBottom/>
            <wp:docPr id="16" name="Picture 16" descr="Generated"/>
            <wp:cNvGraphicFramePr/>
            <a:graphic xmlns:a="http://schemas.openxmlformats.org/drawingml/2006/main">
              <a:graphicData uri="http://schemas.openxmlformats.org/drawingml/2006/picture">
                <pic:pic xmlns:pic="http://schemas.openxmlformats.org/drawingml/2006/picture">
                  <pic:nvPicPr>
                    <pic:cNvPr id="16" name="Picture 16" descr="Generated"/>
                    <pic:cNvPicPr/>
                  </pic:nvPicPr>
                  <pic:blipFill>
                    <a:blip r:embed="rId24">
                      <a:extLst>
                        <a:ext uri="{28A0092B-C50C-407E-A947-70E740481C1C}">
                          <a14:useLocalDpi xmlns:a14="http://schemas.microsoft.com/office/drawing/2010/main" val="0"/>
                        </a:ext>
                      </a:extLst>
                    </a:blip>
                    <a:stretch>
                      <a:fillRect/>
                    </a:stretch>
                  </pic:blipFill>
                  <pic:spPr>
                    <a:xfrm>
                      <a:off x="0" y="0"/>
                      <a:ext cx="1332000" cy="1522800"/>
                    </a:xfrm>
                    <a:prstGeom prst="rect">
                      <a:avLst/>
                    </a:prstGeom>
                  </pic:spPr>
                </pic:pic>
              </a:graphicData>
            </a:graphic>
          </wp:anchor>
        </w:drawing>
      </w:r>
      <w:r>
        <w:rPr>
          <w:rFonts w:cs="微软雅黑"/>
          <w:sz w:val="24"/>
          <w:szCs w:val="21"/>
        </w:rPr>
        <w:t>图</w:t>
      </w:r>
      <w:r>
        <w:rPr>
          <w:rFonts w:hint="eastAsia" w:cs="微软雅黑"/>
          <w:sz w:val="24"/>
          <w:szCs w:val="21"/>
          <w:lang w:val="en-US" w:eastAsia="zh-CN"/>
        </w:rPr>
        <w:t>1</w:t>
      </w:r>
      <w:r>
        <w:rPr>
          <w:rFonts w:cs="微软雅黑"/>
          <w:sz w:val="24"/>
          <w:szCs w:val="21"/>
        </w:rPr>
        <w:t>.3-3 环保旗帜</w:t>
      </w:r>
    </w:p>
    <w:p>
      <w:pPr>
        <w:pStyle w:val="30"/>
        <w:ind w:firstLine="420"/>
      </w:pPr>
      <w:r>
        <w:rPr>
          <w:rFonts w:hint="eastAsia"/>
        </w:rPr>
        <w:t>注：所有场地及道具均有一定的合理公差，如开赛前参赛联盟队长对道具尺寸等方面存在异议可申请更换，当值裁判将根据实际情况决定是否替换。</w:t>
      </w:r>
    </w:p>
    <w:p>
      <w:pPr>
        <w:pStyle w:val="81"/>
      </w:pPr>
      <w:bookmarkStart w:id="4" w:name="_Toc7481"/>
      <w:r>
        <w:rPr>
          <w:rFonts w:hint="eastAsia"/>
        </w:rPr>
        <w:t>任务介绍及得分判定</w:t>
      </w:r>
      <w:bookmarkEnd w:id="4"/>
    </w:p>
    <w:p>
      <w:pPr>
        <w:pStyle w:val="30"/>
        <w:spacing w:after="156" w:afterLines="50"/>
      </w:pPr>
      <w:r>
        <w:rPr>
          <w:rFonts w:hint="eastAsia"/>
        </w:rPr>
        <w:t>比赛总时间为</w:t>
      </w:r>
      <w:r>
        <w:t>4分钟，包括自动控制阶段（30秒）和手动控制阶段</w:t>
      </w:r>
      <w:r>
        <w:rPr>
          <w:rFonts w:hint="eastAsia"/>
        </w:rPr>
        <w:t>（</w:t>
      </w:r>
      <w:r>
        <w:t>3分30秒</w:t>
      </w:r>
      <w:r>
        <w:rPr>
          <w:rFonts w:hint="eastAsia"/>
        </w:rPr>
        <w:t>）</w:t>
      </w:r>
      <w:r>
        <w:t>，每个阶段选手需要完成任务</w:t>
      </w:r>
      <w:r>
        <w:rPr>
          <w:rFonts w:hint="eastAsia"/>
        </w:rPr>
        <w:t>见下表</w:t>
      </w:r>
      <w:r>
        <w:t>。在每个阶段开始和结束时，裁判会通过读秒提示选手。比赛阶段具体说明请</w:t>
      </w:r>
      <w:r>
        <w:rPr>
          <w:rFonts w:hint="eastAsia"/>
        </w:rPr>
        <w:t>参考“</w:t>
      </w:r>
      <w:r>
        <w:rPr>
          <w:b/>
          <w:bCs/>
        </w:rPr>
        <w:t>4.6 单场比赛流程</w:t>
      </w:r>
      <w:r>
        <w:rPr>
          <w:rFonts w:hint="eastAsia"/>
        </w:rPr>
        <w:t>”。</w:t>
      </w:r>
    </w:p>
    <w:tbl>
      <w:tblPr>
        <w:tblStyle w:val="17"/>
        <w:tblW w:w="8862" w:type="dxa"/>
        <w:tblInd w:w="1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 w:type="dxa"/>
          <w:bottom w:w="0" w:type="dxa"/>
          <w:right w:w="10" w:type="dxa"/>
        </w:tblCellMar>
      </w:tblPr>
      <w:tblGrid>
        <w:gridCol w:w="1430"/>
        <w:gridCol w:w="1733"/>
        <w:gridCol w:w="5699"/>
      </w:tblGrid>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430" w:type="dxa"/>
            <w:shd w:val="clear" w:color="auto" w:fill="FFFFFF" w:themeFill="background1"/>
            <w:vAlign w:val="center"/>
          </w:tcPr>
          <w:p>
            <w:pPr>
              <w:jc w:val="center"/>
              <w:rPr>
                <w:rFonts w:ascii="思源黑体 CN Normal" w:hAnsi="思源黑体 CN Normal" w:eastAsia="思源黑体 CN Normal" w:cs="Times New Roman"/>
                <w:b/>
                <w:bCs/>
              </w:rPr>
            </w:pPr>
            <w:r>
              <w:rPr>
                <w:rFonts w:ascii="思源黑体 CN Normal" w:hAnsi="思源黑体 CN Normal" w:eastAsia="思源黑体 CN Normal" w:cs="Times New Roman"/>
                <w:b/>
                <w:bCs/>
              </w:rPr>
              <w:t>阶段及时间</w:t>
            </w:r>
          </w:p>
        </w:tc>
        <w:tc>
          <w:tcPr>
            <w:tcW w:w="1733" w:type="dxa"/>
            <w:shd w:val="clear" w:color="auto" w:fill="FFFFFF" w:themeFill="background1"/>
            <w:vAlign w:val="center"/>
          </w:tcPr>
          <w:p>
            <w:pPr>
              <w:jc w:val="center"/>
              <w:rPr>
                <w:rFonts w:ascii="思源黑体 CN Normal" w:hAnsi="思源黑体 CN Normal" w:eastAsia="思源黑体 CN Normal" w:cs="Times New Roman"/>
                <w:b/>
                <w:bCs/>
              </w:rPr>
            </w:pPr>
            <w:r>
              <w:rPr>
                <w:rFonts w:ascii="思源黑体 CN Normal" w:hAnsi="思源黑体 CN Normal" w:eastAsia="思源黑体 CN Normal" w:cs="Times New Roman"/>
                <w:b/>
                <w:bCs/>
              </w:rPr>
              <w:t>比赛任务</w:t>
            </w:r>
          </w:p>
        </w:tc>
        <w:tc>
          <w:tcPr>
            <w:tcW w:w="5699" w:type="dxa"/>
            <w:shd w:val="clear" w:color="auto" w:fill="FFFFFF" w:themeFill="background1"/>
            <w:vAlign w:val="center"/>
          </w:tcPr>
          <w:p>
            <w:pPr>
              <w:jc w:val="center"/>
              <w:rPr>
                <w:rFonts w:ascii="思源黑体 CN Normal" w:hAnsi="思源黑体 CN Normal" w:eastAsia="思源黑体 CN Normal" w:cs="Times New Roman"/>
                <w:b/>
                <w:bCs/>
              </w:rPr>
            </w:pPr>
            <w:r>
              <w:rPr>
                <w:rFonts w:ascii="思源黑体 CN Normal" w:hAnsi="思源黑体 CN Normal" w:eastAsia="思源黑体 CN Normal" w:cs="Times New Roman"/>
                <w:b/>
                <w:bCs/>
              </w:rPr>
              <w:t>任务内容</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430" w:type="dxa"/>
            <w:vMerge w:val="restart"/>
            <w:vAlign w:val="center"/>
          </w:tcPr>
          <w:p>
            <w:pPr>
              <w:jc w:val="center"/>
              <w:rPr>
                <w:rFonts w:ascii="思源黑体 CN Normal" w:hAnsi="思源黑体 CN Normal" w:eastAsia="思源黑体 CN Normal"/>
                <w:b/>
                <w:bCs/>
              </w:rPr>
            </w:pPr>
            <w:r>
              <w:rPr>
                <w:rFonts w:ascii="思源黑体 CN Normal" w:hAnsi="思源黑体 CN Normal" w:eastAsia="思源黑体 CN Normal" w:cs="Times New Roman"/>
                <w:b/>
                <w:bCs/>
              </w:rPr>
              <w:t>自动控制阶段  （30秒）</w:t>
            </w:r>
          </w:p>
        </w:tc>
        <w:tc>
          <w:tcPr>
            <w:tcW w:w="1733" w:type="dxa"/>
            <w:vAlign w:val="center"/>
          </w:tcPr>
          <w:p>
            <w:pPr>
              <w:jc w:val="center"/>
              <w:rPr>
                <w:rFonts w:ascii="思源黑体 CN Normal" w:hAnsi="思源黑体 CN Normal" w:eastAsia="思源黑体 CN Normal"/>
              </w:rPr>
            </w:pPr>
            <w:r>
              <w:rPr>
                <w:rFonts w:ascii="思源黑体 CN Normal" w:hAnsi="思源黑体 CN Normal" w:eastAsia="思源黑体 CN Normal" w:cs="Times New Roman"/>
              </w:rPr>
              <w:t>安装防泄漏装置</w:t>
            </w:r>
          </w:p>
        </w:tc>
        <w:tc>
          <w:tcPr>
            <w:tcW w:w="5699" w:type="dxa"/>
            <w:vAlign w:val="center"/>
          </w:tcPr>
          <w:p>
            <w:pPr>
              <w:jc w:val="left"/>
              <w:rPr>
                <w:rFonts w:ascii="思源黑体 CN Normal" w:hAnsi="思源黑体 CN Normal" w:eastAsia="思源黑体 CN Normal"/>
              </w:rPr>
            </w:pPr>
            <w:r>
              <w:rPr>
                <w:rFonts w:ascii="思源黑体 CN Normal" w:hAnsi="思源黑体 CN Normal" w:eastAsia="思源黑体 CN Normal" w:cs="Times New Roman"/>
              </w:rPr>
              <w:t>运行自动程序，使本方生产区内的方块完全进入本方装置区内；</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430" w:type="dxa"/>
            <w:vMerge w:val="continue"/>
            <w:vAlign w:val="center"/>
          </w:tcPr>
          <w:p>
            <w:pPr>
              <w:jc w:val="center"/>
              <w:rPr>
                <w:rFonts w:ascii="思源黑体 CN Normal" w:hAnsi="思源黑体 CN Normal" w:eastAsia="思源黑体 CN Normal"/>
                <w:b/>
                <w:bCs/>
              </w:rPr>
            </w:pPr>
          </w:p>
        </w:tc>
        <w:tc>
          <w:tcPr>
            <w:tcW w:w="1733" w:type="dxa"/>
            <w:vAlign w:val="center"/>
          </w:tcPr>
          <w:p>
            <w:pPr>
              <w:jc w:val="center"/>
              <w:rPr>
                <w:rFonts w:ascii="思源黑体 CN Normal" w:hAnsi="思源黑体 CN Normal" w:eastAsia="思源黑体 CN Normal"/>
              </w:rPr>
            </w:pPr>
            <w:r>
              <w:rPr>
                <w:rFonts w:ascii="思源黑体 CN Normal" w:hAnsi="思源黑体 CN Normal" w:eastAsia="思源黑体 CN Normal" w:cs="Times New Roman"/>
              </w:rPr>
              <w:t>转移碳捕捉容器</w:t>
            </w:r>
          </w:p>
        </w:tc>
        <w:tc>
          <w:tcPr>
            <w:tcW w:w="5699" w:type="dxa"/>
            <w:vAlign w:val="center"/>
          </w:tcPr>
          <w:p>
            <w:pPr>
              <w:jc w:val="left"/>
              <w:rPr>
                <w:rFonts w:ascii="思源黑体 CN Normal" w:hAnsi="思源黑体 CN Normal" w:eastAsia="思源黑体 CN Normal"/>
              </w:rPr>
            </w:pPr>
            <w:r>
              <w:rPr>
                <w:rFonts w:ascii="思源黑体 CN Normal" w:hAnsi="思源黑体 CN Normal" w:eastAsia="思源黑体 CN Normal" w:cs="Times New Roman"/>
              </w:rPr>
              <w:t>运行自动程序，使本方生产区内的球进入对方球门内；</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430" w:type="dxa"/>
            <w:vMerge w:val="continue"/>
            <w:vAlign w:val="center"/>
          </w:tcPr>
          <w:p>
            <w:pPr>
              <w:jc w:val="center"/>
              <w:rPr>
                <w:rFonts w:ascii="思源黑体 CN Normal" w:hAnsi="思源黑体 CN Normal" w:eastAsia="思源黑体 CN Normal"/>
                <w:b/>
                <w:bCs/>
              </w:rPr>
            </w:pPr>
          </w:p>
        </w:tc>
        <w:tc>
          <w:tcPr>
            <w:tcW w:w="1733" w:type="dxa"/>
            <w:vAlign w:val="center"/>
          </w:tcPr>
          <w:p>
            <w:pPr>
              <w:jc w:val="center"/>
              <w:rPr>
                <w:rFonts w:ascii="思源黑体 CN Normal" w:hAnsi="思源黑体 CN Normal" w:eastAsia="思源黑体 CN Normal" w:cstheme="minorBidi"/>
                <w:kern w:val="2"/>
                <w:szCs w:val="22"/>
                <w:highlight w:val="none"/>
                <w:lang w:val="en-US" w:eastAsia="zh-CN" w:bidi="ar-SA"/>
              </w:rPr>
            </w:pPr>
            <w:r>
              <w:rPr>
                <w:rFonts w:ascii="思源黑体 CN Normal" w:hAnsi="思源黑体 CN Normal" w:eastAsia="思源黑体 CN Normal" w:cs="Times New Roman"/>
                <w:highlight w:val="none"/>
              </w:rPr>
              <w:t>插入环保旗帜</w:t>
            </w:r>
          </w:p>
        </w:tc>
        <w:tc>
          <w:tcPr>
            <w:tcW w:w="5699" w:type="dxa"/>
            <w:vAlign w:val="center"/>
          </w:tcPr>
          <w:p>
            <w:pPr>
              <w:jc w:val="left"/>
              <w:rPr>
                <w:rFonts w:ascii="思源黑体 CN Normal" w:hAnsi="思源黑体 CN Normal" w:eastAsia="思源黑体 CN Normal" w:cstheme="minorBidi"/>
                <w:kern w:val="2"/>
                <w:szCs w:val="22"/>
                <w:highlight w:val="none"/>
                <w:lang w:val="en-US" w:eastAsia="zh-CN" w:bidi="ar-SA"/>
              </w:rPr>
            </w:pPr>
            <w:r>
              <w:rPr>
                <w:rFonts w:ascii="思源黑体 CN Normal" w:hAnsi="思源黑体 CN Normal" w:eastAsia="思源黑体 CN Normal" w:cs="Times New Roman"/>
                <w:highlight w:val="none"/>
              </w:rPr>
              <w:t>运行自动程序，将环保旗帜插入本方迈迈旗筒内。</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430" w:type="dxa"/>
            <w:vMerge w:val="restart"/>
            <w:vAlign w:val="center"/>
          </w:tcPr>
          <w:p>
            <w:pPr>
              <w:jc w:val="center"/>
              <w:rPr>
                <w:rFonts w:ascii="思源黑体 CN Normal" w:hAnsi="思源黑体 CN Normal" w:eastAsia="思源黑体 CN Normal"/>
                <w:b/>
                <w:bCs/>
              </w:rPr>
            </w:pPr>
            <w:r>
              <w:rPr>
                <w:rFonts w:ascii="思源黑体 CN Normal" w:hAnsi="思源黑体 CN Normal" w:eastAsia="思源黑体 CN Normal" w:cs="Times New Roman"/>
                <w:b/>
                <w:bCs/>
              </w:rPr>
              <w:t>手动控制阶段 （3分30秒）</w:t>
            </w:r>
          </w:p>
        </w:tc>
        <w:tc>
          <w:tcPr>
            <w:tcW w:w="1733" w:type="dxa"/>
            <w:vAlign w:val="center"/>
          </w:tcPr>
          <w:p>
            <w:pPr>
              <w:jc w:val="center"/>
              <w:rPr>
                <w:rFonts w:ascii="思源黑体 CN Normal" w:hAnsi="思源黑体 CN Normal" w:eastAsia="思源黑体 CN Normal"/>
              </w:rPr>
            </w:pPr>
            <w:r>
              <w:rPr>
                <w:rFonts w:ascii="思源黑体 CN Normal" w:hAnsi="思源黑体 CN Normal" w:eastAsia="思源黑体 CN Normal" w:cs="Times New Roman"/>
              </w:rPr>
              <w:t>安装防泄漏装置</w:t>
            </w:r>
          </w:p>
        </w:tc>
        <w:tc>
          <w:tcPr>
            <w:tcW w:w="5699" w:type="dxa"/>
            <w:vAlign w:val="center"/>
          </w:tcPr>
          <w:p>
            <w:pPr>
              <w:jc w:val="left"/>
              <w:rPr>
                <w:rFonts w:ascii="思源黑体 CN Normal" w:hAnsi="思源黑体 CN Normal" w:eastAsia="思源黑体 CN Normal"/>
              </w:rPr>
            </w:pPr>
            <w:r>
              <w:rPr>
                <w:rFonts w:ascii="思源黑体 CN Normal" w:hAnsi="思源黑体 CN Normal" w:eastAsia="思源黑体 CN Normal" w:cs="Times New Roman"/>
              </w:rPr>
              <w:t>操控机器人，使本方阵地或中央区的方块完全进入本方装置区内；</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430" w:type="dxa"/>
            <w:vMerge w:val="continue"/>
            <w:vAlign w:val="center"/>
          </w:tcPr>
          <w:p>
            <w:pPr>
              <w:jc w:val="left"/>
              <w:rPr>
                <w:rFonts w:ascii="思源黑体 CN Normal" w:hAnsi="思源黑体 CN Normal" w:eastAsia="思源黑体 CN Normal"/>
              </w:rPr>
            </w:pPr>
          </w:p>
        </w:tc>
        <w:tc>
          <w:tcPr>
            <w:tcW w:w="1733" w:type="dxa"/>
            <w:vAlign w:val="center"/>
          </w:tcPr>
          <w:p>
            <w:pPr>
              <w:jc w:val="center"/>
              <w:rPr>
                <w:rFonts w:ascii="思源黑体 CN Normal" w:hAnsi="思源黑体 CN Normal" w:eastAsia="思源黑体 CN Normal"/>
              </w:rPr>
            </w:pPr>
            <w:r>
              <w:rPr>
                <w:rFonts w:ascii="思源黑体 CN Normal" w:hAnsi="思源黑体 CN Normal" w:eastAsia="思源黑体 CN Normal" w:cs="Times New Roman"/>
              </w:rPr>
              <w:t>转移碳捕捉容器</w:t>
            </w:r>
          </w:p>
        </w:tc>
        <w:tc>
          <w:tcPr>
            <w:tcW w:w="5699" w:type="dxa"/>
            <w:vAlign w:val="center"/>
          </w:tcPr>
          <w:p>
            <w:pPr>
              <w:jc w:val="left"/>
              <w:rPr>
                <w:rFonts w:ascii="思源黑体 CN Normal" w:hAnsi="思源黑体 CN Normal" w:eastAsia="思源黑体 CN Normal"/>
              </w:rPr>
            </w:pPr>
            <w:r>
              <w:rPr>
                <w:rFonts w:ascii="思源黑体 CN Normal" w:hAnsi="思源黑体 CN Normal" w:eastAsia="思源黑体 CN Normal" w:cs="Times New Roman"/>
              </w:rPr>
              <w:t>操控机器人，使本方阵地或中央区的球进入对方球门内；</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500" w:hRule="atLeast"/>
        </w:trPr>
        <w:tc>
          <w:tcPr>
            <w:tcW w:w="1430" w:type="dxa"/>
            <w:vMerge w:val="continue"/>
            <w:vAlign w:val="center"/>
          </w:tcPr>
          <w:p>
            <w:pPr>
              <w:jc w:val="left"/>
              <w:rPr>
                <w:rFonts w:ascii="思源黑体 CN Normal" w:hAnsi="思源黑体 CN Normal" w:eastAsia="思源黑体 CN Normal"/>
              </w:rPr>
            </w:pPr>
          </w:p>
        </w:tc>
        <w:tc>
          <w:tcPr>
            <w:tcW w:w="1733" w:type="dxa"/>
            <w:vAlign w:val="center"/>
          </w:tcPr>
          <w:p>
            <w:pPr>
              <w:jc w:val="center"/>
              <w:rPr>
                <w:rFonts w:ascii="思源黑体 CN Normal" w:hAnsi="思源黑体 CN Normal" w:eastAsia="思源黑体 CN Normal"/>
              </w:rPr>
            </w:pPr>
            <w:r>
              <w:rPr>
                <w:rFonts w:ascii="思源黑体 CN Normal" w:hAnsi="思源黑体 CN Normal" w:eastAsia="思源黑体 CN Normal" w:cs="Times New Roman"/>
              </w:rPr>
              <w:t>插入环保旗帜</w:t>
            </w:r>
          </w:p>
        </w:tc>
        <w:tc>
          <w:tcPr>
            <w:tcW w:w="5699" w:type="dxa"/>
            <w:vAlign w:val="center"/>
          </w:tcPr>
          <w:p>
            <w:pPr>
              <w:jc w:val="left"/>
              <w:rPr>
                <w:rFonts w:ascii="思源黑体 CN Normal" w:hAnsi="思源黑体 CN Normal" w:eastAsia="思源黑体 CN Normal"/>
              </w:rPr>
            </w:pPr>
            <w:r>
              <w:rPr>
                <w:rFonts w:ascii="思源黑体 CN Normal" w:hAnsi="思源黑体 CN Normal" w:eastAsia="思源黑体 CN Normal" w:cs="Times New Roman"/>
              </w:rPr>
              <w:t>操控机器人，将环保旗帜插入本方迈迈旗筒内。</w:t>
            </w:r>
          </w:p>
        </w:tc>
      </w:tr>
    </w:tbl>
    <w:p>
      <w:pPr>
        <w:pStyle w:val="63"/>
        <w:spacing w:before="156" w:beforeLines="50"/>
      </w:pPr>
      <w:r>
        <w:rPr>
          <w:rFonts w:hint="eastAsia"/>
        </w:rPr>
        <w:t>安装防泄漏装置</w:t>
      </w:r>
    </w:p>
    <w:p>
      <w:pPr>
        <w:pStyle w:val="30"/>
      </w:pPr>
      <w:r>
        <w:rPr>
          <w:rFonts w:hint="eastAsia" w:ascii="思源黑体 CN Heavy" w:hAnsi="思源黑体 CN Heavy" w:eastAsia="思源黑体 CN Heavy"/>
          <w:b/>
          <w:bCs/>
        </w:rPr>
        <w:t>任务描述</w:t>
      </w:r>
      <w:r>
        <w:rPr>
          <w:rFonts w:hint="eastAsia" w:ascii="思源黑体 CN Heavy" w:hAnsi="思源黑体 CN Heavy" w:eastAsia="思源黑体 CN Heavy"/>
        </w:rPr>
        <w:t>：</w:t>
      </w:r>
      <w:r>
        <w:rPr>
          <w:rFonts w:hint="eastAsia"/>
        </w:rPr>
        <w:t>本任务可在自动控制阶段和手动控制阶段完成。</w:t>
      </w:r>
    </w:p>
    <w:p>
      <w:pPr>
        <w:pStyle w:val="30"/>
        <w:rPr>
          <w:rFonts w:ascii="思源黑体 CN Heavy" w:hAnsi="思源黑体 CN Heavy" w:eastAsia="思源黑体 CN Heavy"/>
        </w:rPr>
      </w:pPr>
      <w:r>
        <w:rPr>
          <w:rFonts w:hint="eastAsia"/>
        </w:rPr>
        <w:t>自动控制阶段，机器人须通过运行自动程序，使本方生产区的方块完全进入本方装置区内。</w:t>
      </w:r>
    </w:p>
    <w:p>
      <w:pPr>
        <w:pStyle w:val="30"/>
        <w:rPr>
          <w:rFonts w:ascii="思源黑体 CN Heavy" w:hAnsi="思源黑体 CN Heavy" w:eastAsia="思源黑体 CN Heavy"/>
        </w:rPr>
      </w:pPr>
      <w:r>
        <w:rPr>
          <w:rFonts w:hint="eastAsia"/>
        </w:rPr>
        <w:t>手动控制阶段，选手操控机器人，使本方阵地或中央区的方块完全进入本方装置区内。</w:t>
      </w:r>
    </w:p>
    <w:p>
      <w:pPr>
        <w:pStyle w:val="30"/>
        <w:rPr>
          <w:rFonts w:ascii="思源黑体 CN Heavy" w:hAnsi="思源黑体 CN Heavy" w:eastAsia="思源黑体 CN Heavy"/>
        </w:rPr>
      </w:pPr>
      <w:r>
        <w:rPr>
          <w:rFonts w:hint="eastAsia" w:ascii="思源黑体 CN Heavy" w:hAnsi="思源黑体 CN Heavy" w:eastAsia="思源黑体 CN Heavy"/>
          <w:b/>
          <w:bCs/>
        </w:rPr>
        <w:t>得分判定</w:t>
      </w:r>
      <w:r>
        <w:rPr>
          <w:rFonts w:hint="eastAsia" w:ascii="思源黑体 CN Heavy" w:hAnsi="思源黑体 CN Heavy" w:eastAsia="思源黑体 CN Heavy"/>
        </w:rPr>
        <w:t>：</w:t>
      </w:r>
      <w:r>
        <w:rPr>
          <w:rFonts w:hint="eastAsia"/>
        </w:rPr>
        <w:t>比赛结束时，方块完全进入装置区内，且与机器人无接触即可得分。完全进入是指方块的垂直投影面完全位于装置区内。每成功移入一个方块得</w:t>
      </w:r>
      <w:r>
        <w:t>40分</w:t>
      </w:r>
      <w:r>
        <w:rPr>
          <w:rFonts w:hint="eastAsia"/>
        </w:rPr>
        <w:t>，有效得分方块最多3个。</w:t>
      </w:r>
    </w:p>
    <w:p>
      <w:pPr>
        <w:widowControl/>
        <w:spacing w:after="156" w:afterLines="50" w:line="240" w:lineRule="auto"/>
        <w:jc w:val="center"/>
        <w:rPr>
          <w:rFonts w:cs="微软雅黑"/>
          <w:sz w:val="24"/>
          <w:szCs w:val="21"/>
        </w:rPr>
      </w:pPr>
      <w:r>
        <w:rPr>
          <w:rFonts w:cs="微软雅黑"/>
          <w:sz w:val="24"/>
          <w:szCs w:val="21"/>
        </w:rPr>
        <w:t>图</w:t>
      </w:r>
      <w:r>
        <w:rPr>
          <w:rFonts w:hint="eastAsia" w:cs="微软雅黑"/>
          <w:sz w:val="24"/>
          <w:szCs w:val="21"/>
          <w:lang w:val="en-US" w:eastAsia="zh-CN"/>
        </w:rPr>
        <w:t>1</w:t>
      </w:r>
      <w:r>
        <w:rPr>
          <w:rFonts w:cs="微软雅黑"/>
          <w:sz w:val="24"/>
          <w:szCs w:val="21"/>
        </w:rPr>
        <w:t>.4-1 方块得分状态判定</w:t>
      </w:r>
    </w:p>
    <w:p>
      <w:pPr>
        <w:pStyle w:val="63"/>
      </w:pPr>
      <w:r>
        <w:rPr>
          <w:rFonts w:ascii="Times New Roman" w:hAnsi="Times New Roman" w:eastAsia="宋体" w:cs="Times New Roman"/>
          <w:sz w:val="22"/>
        </w:rPr>
        <w:drawing>
          <wp:anchor distT="180340" distB="180340" distL="114300" distR="114300" simplePos="0" relativeHeight="251674624" behindDoc="0" locked="0" layoutInCell="1" allowOverlap="1">
            <wp:simplePos x="0" y="0"/>
            <wp:positionH relativeFrom="column">
              <wp:posOffset>-48260</wp:posOffset>
            </wp:positionH>
            <wp:positionV relativeFrom="paragraph">
              <wp:posOffset>17145</wp:posOffset>
            </wp:positionV>
            <wp:extent cx="5277485" cy="817245"/>
            <wp:effectExtent l="0" t="0" r="0" b="2540"/>
            <wp:wrapTopAndBottom/>
            <wp:docPr id="36" name="Picture 18" descr="Generated"/>
            <wp:cNvGraphicFramePr/>
            <a:graphic xmlns:a="http://schemas.openxmlformats.org/drawingml/2006/main">
              <a:graphicData uri="http://schemas.openxmlformats.org/drawingml/2006/picture">
                <pic:pic xmlns:pic="http://schemas.openxmlformats.org/drawingml/2006/picture">
                  <pic:nvPicPr>
                    <pic:cNvPr id="36" name="Picture 18" descr="Generated"/>
                    <pic:cNvPicPr/>
                  </pic:nvPicPr>
                  <pic:blipFill>
                    <a:blip r:embed="rId25">
                      <a:extLst>
                        <a:ext uri="{28A0092B-C50C-407E-A947-70E740481C1C}">
                          <a14:useLocalDpi xmlns:a14="http://schemas.microsoft.com/office/drawing/2010/main" val="0"/>
                        </a:ext>
                      </a:extLst>
                    </a:blip>
                    <a:stretch>
                      <a:fillRect/>
                    </a:stretch>
                  </pic:blipFill>
                  <pic:spPr>
                    <a:xfrm>
                      <a:off x="0" y="0"/>
                      <a:ext cx="5277600" cy="817200"/>
                    </a:xfrm>
                    <a:prstGeom prst="rect">
                      <a:avLst/>
                    </a:prstGeom>
                  </pic:spPr>
                </pic:pic>
              </a:graphicData>
            </a:graphic>
          </wp:anchor>
        </w:drawing>
      </w:r>
      <w:r>
        <w:rPr>
          <w:rFonts w:hint="eastAsia"/>
        </w:rPr>
        <w:t>转移碳捕捉容器</w:t>
      </w:r>
    </w:p>
    <w:p>
      <w:pPr>
        <w:pStyle w:val="30"/>
        <w:contextualSpacing/>
        <w:rPr>
          <w:rFonts w:ascii="思源黑体 CN Heavy" w:hAnsi="思源黑体 CN Heavy" w:eastAsia="思源黑体 CN Heavy"/>
        </w:rPr>
      </w:pPr>
      <w:r>
        <w:rPr>
          <w:rFonts w:hint="eastAsia" w:ascii="思源黑体 CN Heavy" w:hAnsi="思源黑体 CN Heavy" w:eastAsia="思源黑体 CN Heavy"/>
          <w:b/>
          <w:bCs/>
        </w:rPr>
        <w:t>任务描述</w:t>
      </w:r>
      <w:r>
        <w:rPr>
          <w:rFonts w:hint="eastAsia" w:ascii="思源黑体 CN Heavy" w:hAnsi="思源黑体 CN Heavy" w:eastAsia="思源黑体 CN Heavy"/>
        </w:rPr>
        <w:t>：</w:t>
      </w:r>
      <w:r>
        <w:rPr>
          <w:rFonts w:hint="eastAsia"/>
          <w:bCs/>
          <w:color w:val="auto"/>
        </w:rPr>
        <w:t>本任务可在自动阶段和手动阶段完成。</w:t>
      </w:r>
    </w:p>
    <w:p>
      <w:pPr>
        <w:pStyle w:val="30"/>
        <w:contextualSpacing/>
        <w:rPr>
          <w:bCs/>
          <w:color w:val="auto"/>
        </w:rPr>
      </w:pPr>
      <w:r>
        <w:rPr>
          <w:rFonts w:hint="eastAsia"/>
          <w:bCs/>
          <w:color w:val="auto"/>
        </w:rPr>
        <w:t>自动控制阶段，机器人运行自动程序，通过推动或抛射等方式使本方生产区内的球进入对方球门内；</w:t>
      </w:r>
    </w:p>
    <w:p>
      <w:pPr>
        <w:pStyle w:val="30"/>
        <w:contextualSpacing/>
        <w:rPr>
          <w:bCs/>
          <w:color w:val="auto"/>
        </w:rPr>
      </w:pPr>
      <w:r>
        <w:rPr>
          <w:rFonts w:hint="eastAsia"/>
          <w:bCs/>
          <w:color w:val="auto"/>
        </w:rPr>
        <w:t>手动控制阶段，选手操控机器人，通过推动或抛射等方式使本方阵地或中央区的球进入对方球门内。</w:t>
      </w:r>
    </w:p>
    <w:p>
      <w:pPr>
        <w:pStyle w:val="30"/>
        <w:contextualSpacing/>
        <w:rPr>
          <w:rFonts w:ascii="思源黑体 CN Heavy" w:hAnsi="思源黑体 CN Heavy" w:eastAsia="思源黑体 CN Heavy"/>
        </w:rPr>
      </w:pPr>
      <w:r>
        <w:rPr>
          <w:rFonts w:hint="eastAsia" w:ascii="思源黑体 CN Heavy" w:hAnsi="思源黑体 CN Heavy" w:eastAsia="思源黑体 CN Heavy"/>
          <w:b/>
          <w:bCs/>
        </w:rPr>
        <w:t>得分判定</w:t>
      </w:r>
      <w:r>
        <w:rPr>
          <w:rFonts w:hint="eastAsia" w:ascii="思源黑体 CN Heavy" w:hAnsi="思源黑体 CN Heavy" w:eastAsia="思源黑体 CN Heavy"/>
        </w:rPr>
        <w:t>：</w:t>
      </w:r>
      <w:r>
        <w:rPr>
          <w:rFonts w:hint="eastAsia"/>
          <w:bCs/>
          <w:color w:val="auto"/>
        </w:rPr>
        <w:t>比赛结束时，球进入球门和球网内侧，且满足以下两种状态条件之一即可得分：</w:t>
      </w:r>
    </w:p>
    <w:p>
      <w:pPr>
        <w:pStyle w:val="30"/>
        <w:numPr>
          <w:ilvl w:val="0"/>
          <w:numId w:val="11"/>
        </w:numPr>
      </w:pPr>
      <w:r>
        <w:t>球与球门区域地图有直接接触，且不与球门外侧地图接触；</w:t>
      </w:r>
    </w:p>
    <w:p>
      <w:pPr>
        <w:pStyle w:val="30"/>
        <w:numPr>
          <w:ilvl w:val="0"/>
          <w:numId w:val="11"/>
        </w:numPr>
      </w:pPr>
      <w:r>
        <w:t>球与球门区域</w:t>
      </w:r>
      <w:r>
        <w:rPr>
          <w:rFonts w:hint="eastAsia"/>
        </w:rPr>
        <w:t>地图</w:t>
      </w:r>
      <w:r>
        <w:t>有间接接触，且球的垂直投影面完全位于球门区域内。</w:t>
      </w:r>
    </w:p>
    <w:p>
      <w:pPr>
        <w:pStyle w:val="30"/>
        <w:contextualSpacing/>
        <w:rPr>
          <w:bCs/>
          <w:color w:val="auto"/>
        </w:rPr>
      </w:pPr>
      <w:r>
        <w:rPr>
          <w:rFonts w:hint="eastAsia"/>
          <w:bCs/>
          <w:color w:val="auto"/>
        </w:rPr>
        <w:t>每成功送入一个绿色大球得</w:t>
      </w:r>
      <w:r>
        <w:rPr>
          <w:bCs/>
          <w:color w:val="auto"/>
        </w:rPr>
        <w:t>60分；每成功送入一个黄色小球得30分。</w:t>
      </w:r>
    </w:p>
    <w:p>
      <w:pPr>
        <w:widowControl/>
        <w:spacing w:after="156" w:afterLines="50" w:line="240" w:lineRule="auto"/>
        <w:jc w:val="center"/>
        <w:rPr>
          <w:rFonts w:cs="微软雅黑"/>
          <w:sz w:val="24"/>
          <w:szCs w:val="21"/>
        </w:rPr>
      </w:pPr>
      <w:r>
        <w:rPr>
          <w:bCs/>
          <w:color w:val="auto"/>
        </w:rPr>
        <w:drawing>
          <wp:anchor distT="180340" distB="180340" distL="114300" distR="114300" simplePos="0" relativeHeight="251675648" behindDoc="0" locked="0" layoutInCell="1" allowOverlap="1">
            <wp:simplePos x="0" y="0"/>
            <wp:positionH relativeFrom="column">
              <wp:posOffset>-1905</wp:posOffset>
            </wp:positionH>
            <wp:positionV relativeFrom="paragraph">
              <wp:posOffset>219075</wp:posOffset>
            </wp:positionV>
            <wp:extent cx="5688330" cy="890270"/>
            <wp:effectExtent l="0" t="0" r="7620" b="5080"/>
            <wp:wrapTopAndBottom/>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688330" cy="890270"/>
                    </a:xfrm>
                    <a:prstGeom prst="rect">
                      <a:avLst/>
                    </a:prstGeom>
                    <a:noFill/>
                  </pic:spPr>
                </pic:pic>
              </a:graphicData>
            </a:graphic>
          </wp:anchor>
        </w:drawing>
      </w:r>
      <w:r>
        <w:rPr>
          <w:rFonts w:cs="微软雅黑"/>
          <w:sz w:val="24"/>
          <w:szCs w:val="21"/>
        </w:rPr>
        <w:t>图</w:t>
      </w:r>
      <w:r>
        <w:rPr>
          <w:rFonts w:hint="eastAsia" w:cs="微软雅黑"/>
          <w:sz w:val="24"/>
          <w:szCs w:val="21"/>
          <w:lang w:val="en-US" w:eastAsia="zh-CN"/>
        </w:rPr>
        <w:t>1</w:t>
      </w:r>
      <w:r>
        <w:rPr>
          <w:rFonts w:cs="微软雅黑"/>
          <w:sz w:val="24"/>
          <w:szCs w:val="21"/>
        </w:rPr>
        <w:t>.4-2 球类得分状态判定</w:t>
      </w:r>
    </w:p>
    <w:p>
      <w:pPr>
        <w:pStyle w:val="63"/>
      </w:pPr>
      <w:r>
        <w:rPr>
          <w:rFonts w:hint="eastAsia"/>
        </w:rPr>
        <w:t>插入环保旗帜</w:t>
      </w:r>
    </w:p>
    <w:p>
      <w:pPr>
        <w:pStyle w:val="30"/>
        <w:contextualSpacing/>
        <w:rPr>
          <w:rFonts w:hint="eastAsia"/>
          <w:bCs/>
          <w:color w:val="auto"/>
          <w:highlight w:val="none"/>
        </w:rPr>
      </w:pPr>
      <w:r>
        <w:rPr>
          <w:rFonts w:hint="eastAsia" w:ascii="思源黑体 CN Heavy" w:hAnsi="思源黑体 CN Heavy" w:eastAsia="思源黑体 CN Heavy"/>
          <w:b/>
          <w:bCs/>
          <w:highlight w:val="none"/>
        </w:rPr>
        <w:t>任务描述</w:t>
      </w:r>
      <w:r>
        <w:rPr>
          <w:rFonts w:hint="eastAsia" w:ascii="思源黑体 CN Heavy" w:hAnsi="思源黑体 CN Heavy" w:eastAsia="思源黑体 CN Heavy"/>
          <w:highlight w:val="none"/>
        </w:rPr>
        <w:t>：本任务可在自动阶段和手动阶段完成</w:t>
      </w:r>
      <w:r>
        <w:rPr>
          <w:rFonts w:hint="eastAsia"/>
          <w:bCs/>
          <w:color w:val="auto"/>
          <w:highlight w:val="none"/>
        </w:rPr>
        <w:t>。</w:t>
      </w:r>
    </w:p>
    <w:p>
      <w:pPr>
        <w:pStyle w:val="30"/>
        <w:contextualSpacing/>
        <w:rPr>
          <w:rFonts w:hint="eastAsia"/>
          <w:bCs/>
          <w:color w:val="auto"/>
          <w:highlight w:val="none"/>
        </w:rPr>
      </w:pPr>
      <w:r>
        <w:rPr>
          <w:rFonts w:hint="eastAsia"/>
          <w:bCs/>
          <w:color w:val="auto"/>
          <w:highlight w:val="none"/>
        </w:rPr>
        <w:t>自动控制阶段，机器人运行自动程序，</w:t>
      </w:r>
      <w:r>
        <w:rPr>
          <w:rFonts w:hint="eastAsia"/>
          <w:bCs/>
          <w:color w:val="auto"/>
          <w:highlight w:val="none"/>
          <w:u w:val="none"/>
        </w:rPr>
        <w:t>将环保旗帜插入本方迈迈旗筒内</w:t>
      </w:r>
      <w:r>
        <w:rPr>
          <w:rFonts w:hint="eastAsia"/>
          <w:bCs/>
          <w:color w:val="auto"/>
          <w:highlight w:val="none"/>
        </w:rPr>
        <w:t>；</w:t>
      </w:r>
    </w:p>
    <w:p>
      <w:pPr>
        <w:pStyle w:val="30"/>
        <w:contextualSpacing/>
        <w:rPr>
          <w:bCs/>
          <w:color w:val="auto"/>
        </w:rPr>
      </w:pPr>
      <w:r>
        <w:rPr>
          <w:rFonts w:hint="eastAsia"/>
          <w:bCs/>
          <w:color w:val="auto"/>
          <w:highlight w:val="none"/>
        </w:rPr>
        <w:t>手动控制阶段，</w:t>
      </w:r>
      <w:r>
        <w:rPr>
          <w:rFonts w:hint="eastAsia"/>
          <w:bCs/>
          <w:color w:val="auto"/>
          <w:highlight w:val="none"/>
          <w:u w:val="none"/>
        </w:rPr>
        <w:t>选手通过操控机器人将环保旗帜插入本方迈迈旗筒内。</w:t>
      </w:r>
      <w:r>
        <w:rPr>
          <w:rFonts w:hint="eastAsia"/>
          <w:bCs/>
          <w:color w:val="auto"/>
        </w:rPr>
        <w:t>每个迈迈旗筒最多放置</w:t>
      </w:r>
      <w:r>
        <w:rPr>
          <w:rFonts w:hint="eastAsia"/>
          <w:bCs/>
          <w:color w:val="auto"/>
          <w:lang w:val="en-US" w:eastAsia="zh-CN"/>
        </w:rPr>
        <w:t>1</w:t>
      </w:r>
      <w:r>
        <w:rPr>
          <w:rFonts w:hint="eastAsia"/>
          <w:bCs/>
          <w:color w:val="auto"/>
        </w:rPr>
        <w:t>面环保旗帜。</w:t>
      </w:r>
    </w:p>
    <w:p>
      <w:pPr>
        <w:pStyle w:val="30"/>
        <w:contextualSpacing/>
        <w:rPr>
          <w:bCs/>
          <w:color w:val="auto"/>
          <w:highlight w:val="none"/>
        </w:rPr>
      </w:pPr>
      <w:r>
        <w:rPr>
          <w:b/>
          <w:bCs/>
          <w:color w:val="auto"/>
        </w:rPr>
        <w:drawing>
          <wp:anchor distT="0" distB="0" distL="114300" distR="114300" simplePos="0" relativeHeight="251684864" behindDoc="0" locked="0" layoutInCell="1" allowOverlap="1">
            <wp:simplePos x="0" y="0"/>
            <wp:positionH relativeFrom="column">
              <wp:posOffset>1116330</wp:posOffset>
            </wp:positionH>
            <wp:positionV relativeFrom="paragraph">
              <wp:posOffset>918210</wp:posOffset>
            </wp:positionV>
            <wp:extent cx="3402330" cy="2198370"/>
            <wp:effectExtent l="0" t="0" r="7620" b="11430"/>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3402330" cy="2198370"/>
                    </a:xfrm>
                    <a:prstGeom prst="rect">
                      <a:avLst/>
                    </a:prstGeom>
                    <a:noFill/>
                    <a:ln>
                      <a:noFill/>
                    </a:ln>
                  </pic:spPr>
                </pic:pic>
              </a:graphicData>
            </a:graphic>
          </wp:anchor>
        </w:drawing>
      </w:r>
      <w:r>
        <w:rPr>
          <w:rFonts w:hint="eastAsia" w:ascii="思源黑体 CN Heavy" w:hAnsi="思源黑体 CN Heavy" w:eastAsia="思源黑体 CN Heavy"/>
          <w:b/>
          <w:bCs/>
        </w:rPr>
        <w:t>得分判定</w:t>
      </w:r>
      <w:r>
        <w:rPr>
          <w:rFonts w:hint="eastAsia" w:ascii="思源黑体 CN Heavy" w:hAnsi="思源黑体 CN Heavy" w:eastAsia="思源黑体 CN Heavy"/>
        </w:rPr>
        <w:t>：</w:t>
      </w:r>
      <w:r>
        <w:rPr>
          <w:rFonts w:hint="eastAsia"/>
          <w:bCs/>
          <w:color w:val="auto"/>
        </w:rPr>
        <w:t>环保旗帜的旗杆必须进入迈迈旗筒内部，旗面及旗杆不与地面接触，不与机器人接触，</w:t>
      </w:r>
      <w:r>
        <w:rPr>
          <w:rFonts w:hint="eastAsia"/>
          <w:bCs/>
          <w:color w:val="auto"/>
          <w:highlight w:val="none"/>
        </w:rPr>
        <w:t>除旗筒和迈迈玩偶外不</w:t>
      </w:r>
      <w:r>
        <w:rPr>
          <w:rFonts w:hint="eastAsia"/>
          <w:bCs/>
          <w:color w:val="auto"/>
          <w:highlight w:val="none"/>
          <w:lang w:val="en-US" w:eastAsia="zh-CN"/>
        </w:rPr>
        <w:t>接触</w:t>
      </w:r>
      <w:r>
        <w:rPr>
          <w:rFonts w:hint="eastAsia"/>
          <w:bCs/>
          <w:color w:val="auto"/>
          <w:highlight w:val="none"/>
        </w:rPr>
        <w:t>其它任何物品，包括“球网和球门”亦不可接触，即视为插旗成功。每成功插旗</w:t>
      </w:r>
      <w:r>
        <w:rPr>
          <w:rFonts w:hint="eastAsia"/>
          <w:bCs/>
          <w:color w:val="auto"/>
          <w:highlight w:val="none"/>
          <w:lang w:val="en-US" w:eastAsia="zh-CN"/>
        </w:rPr>
        <w:t>1</w:t>
      </w:r>
      <w:r>
        <w:rPr>
          <w:rFonts w:hint="eastAsia"/>
          <w:bCs/>
          <w:color w:val="auto"/>
          <w:highlight w:val="none"/>
        </w:rPr>
        <w:t>面得</w:t>
      </w:r>
      <w:r>
        <w:rPr>
          <w:bCs/>
          <w:color w:val="auto"/>
          <w:highlight w:val="none"/>
        </w:rPr>
        <w:t>50分。</w:t>
      </w:r>
    </w:p>
    <w:p>
      <w:pPr>
        <w:widowControl/>
        <w:spacing w:after="156" w:afterLines="50" w:line="240" w:lineRule="auto"/>
        <w:jc w:val="center"/>
        <w:rPr>
          <w:rFonts w:cs="微软雅黑"/>
          <w:sz w:val="24"/>
          <w:szCs w:val="21"/>
        </w:rPr>
      </w:pPr>
      <w:r>
        <w:rPr>
          <w:rFonts w:cs="微软雅黑"/>
          <w:sz w:val="24"/>
          <w:szCs w:val="21"/>
          <w:highlight w:val="none"/>
        </w:rPr>
        <w:t>图</w:t>
      </w:r>
      <w:r>
        <w:rPr>
          <w:rFonts w:hint="eastAsia" w:cs="微软雅黑"/>
          <w:sz w:val="24"/>
          <w:szCs w:val="21"/>
          <w:lang w:val="en-US" w:eastAsia="zh-CN"/>
        </w:rPr>
        <w:t>1</w:t>
      </w:r>
      <w:r>
        <w:rPr>
          <w:rFonts w:cs="微软雅黑"/>
          <w:sz w:val="24"/>
          <w:szCs w:val="21"/>
        </w:rPr>
        <w:t>.4-3 环保旗帜得分状态判定</w:t>
      </w:r>
    </w:p>
    <w:p>
      <w:pPr>
        <w:pStyle w:val="63"/>
        <w:rPr>
          <w:rFonts w:hint="eastAsia"/>
        </w:rPr>
      </w:pPr>
      <w:r>
        <w:rPr>
          <w:rFonts w:hint="eastAsia"/>
        </w:rPr>
        <w:t>边界状态判定</w:t>
      </w:r>
    </w:p>
    <w:p>
      <w:pPr>
        <w:pStyle w:val="96"/>
        <w:numPr>
          <w:ilvl w:val="0"/>
          <w:numId w:val="0"/>
        </w:numPr>
        <w:ind w:firstLine="420"/>
        <w:rPr>
          <w:rFonts w:hint="eastAsia" w:eastAsia="思源黑体 CN Regular"/>
          <w:lang w:val="en-US" w:eastAsia="zh-CN"/>
        </w:rPr>
      </w:pPr>
      <w:r>
        <w:t>在比赛全程中，当机器人或道具与指定区域边界的相对</w:t>
      </w:r>
      <w:r>
        <w:rPr>
          <w:rStyle w:val="99"/>
        </w:rPr>
        <w:t>位置状态不清</w:t>
      </w:r>
      <w:r>
        <w:rPr>
          <w:rStyle w:val="97"/>
        </w:rPr>
        <w:t>晰时，可参考以下状态判定</w:t>
      </w:r>
      <w:r>
        <w:t>：</w:t>
      </w:r>
    </w:p>
    <w:p>
      <w:pPr>
        <w:pStyle w:val="81"/>
      </w:pPr>
      <w:bookmarkStart w:id="5" w:name="_Toc8704"/>
      <w:r>
        <w:drawing>
          <wp:anchor distT="180340" distB="180340" distL="114300" distR="114300" simplePos="0" relativeHeight="251680768" behindDoc="0" locked="0" layoutInCell="1" allowOverlap="1">
            <wp:simplePos x="0" y="0"/>
            <wp:positionH relativeFrom="column">
              <wp:posOffset>14605</wp:posOffset>
            </wp:positionH>
            <wp:positionV relativeFrom="paragraph">
              <wp:posOffset>207645</wp:posOffset>
            </wp:positionV>
            <wp:extent cx="5406390" cy="2139315"/>
            <wp:effectExtent l="0" t="0" r="3810" b="13335"/>
            <wp:wrapTopAndBottom/>
            <wp:docPr id="35" name="Picture 17" descr="Generated"/>
            <wp:cNvGraphicFramePr/>
            <a:graphic xmlns:a="http://schemas.openxmlformats.org/drawingml/2006/main">
              <a:graphicData uri="http://schemas.openxmlformats.org/drawingml/2006/picture">
                <pic:pic xmlns:pic="http://schemas.openxmlformats.org/drawingml/2006/picture">
                  <pic:nvPicPr>
                    <pic:cNvPr id="35" name="Picture 17" descr="Generated"/>
                    <pic:cNvPicPr/>
                  </pic:nvPicPr>
                  <pic:blipFill>
                    <a:blip r:embed="rId28">
                      <a:extLst>
                        <a:ext uri="{28A0092B-C50C-407E-A947-70E740481C1C}">
                          <a14:useLocalDpi xmlns:a14="http://schemas.microsoft.com/office/drawing/2010/main" val="0"/>
                        </a:ext>
                      </a:extLst>
                    </a:blip>
                    <a:stretch>
                      <a:fillRect/>
                    </a:stretch>
                  </pic:blipFill>
                  <pic:spPr>
                    <a:xfrm>
                      <a:off x="0" y="0"/>
                      <a:ext cx="5406390" cy="2139315"/>
                    </a:xfrm>
                    <a:prstGeom prst="rect">
                      <a:avLst/>
                    </a:prstGeom>
                  </pic:spPr>
                </pic:pic>
              </a:graphicData>
            </a:graphic>
          </wp:anchor>
        </w:drawing>
      </w:r>
      <w:r>
        <w:rPr>
          <w:rFonts w:hint="eastAsia"/>
        </w:rPr>
        <w:t>计分说明</w:t>
      </w:r>
      <w:bookmarkEnd w:id="5"/>
    </w:p>
    <w:p>
      <w:pPr>
        <w:pStyle w:val="30"/>
        <w:contextualSpacing/>
        <w:rPr>
          <w:bCs/>
          <w:color w:val="auto"/>
        </w:rPr>
      </w:pPr>
      <w:r>
        <w:rPr>
          <w:rFonts w:hint="eastAsia"/>
          <w:bCs/>
          <w:color w:val="auto"/>
        </w:rPr>
        <w:t>比赛最终得分以比赛结束后，得分道具的最终静止状态为准。比赛任务、得分道具及对应的分值如下所示。比赛结束后，裁判计算双方各项任务得分之和，分数高的联盟将获得比赛胜利。</w:t>
      </w:r>
    </w:p>
    <w:p>
      <w:pPr>
        <w:pStyle w:val="30"/>
        <w:contextualSpacing/>
        <w:rPr>
          <w:bCs/>
          <w:color w:val="auto"/>
        </w:rPr>
      </w:pPr>
      <w:r>
        <w:rPr>
          <w:rFonts w:hint="eastAsia"/>
          <w:bCs/>
          <w:color w:val="auto"/>
        </w:rPr>
        <w:t>单场比赛联盟得分</w:t>
      </w:r>
      <w:r>
        <w:rPr>
          <w:bCs/>
          <w:color w:val="auto"/>
        </w:rPr>
        <w:t>=方块得分+大球得分+小球得分+环保旗帜得分-违规扣分</w:t>
      </w:r>
    </w:p>
    <w:tbl>
      <w:tblPr>
        <w:tblStyle w:val="17"/>
        <w:tblpPr w:leftFromText="180" w:rightFromText="180" w:vertAnchor="text" w:horzAnchor="margin" w:tblpXSpec="center" w:tblpY="288"/>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 w:type="dxa"/>
          <w:bottom w:w="0" w:type="dxa"/>
          <w:right w:w="10" w:type="dxa"/>
        </w:tblCellMar>
      </w:tblPr>
      <w:tblGrid>
        <w:gridCol w:w="1836"/>
        <w:gridCol w:w="1663"/>
        <w:gridCol w:w="1498"/>
        <w:gridCol w:w="1937"/>
        <w:gridCol w:w="1395"/>
      </w:tblGrid>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836" w:type="dxa"/>
            <w:shd w:val="clear" w:color="auto" w:fill="auto"/>
            <w:vAlign w:val="center"/>
          </w:tcPr>
          <w:p>
            <w:pPr>
              <w:jc w:val="center"/>
              <w:rPr>
                <w:rFonts w:ascii="思源黑体 CN Normal" w:hAnsi="思源黑体 CN Normal" w:eastAsia="思源黑体 CN Normal"/>
                <w:b/>
                <w:bCs/>
              </w:rPr>
            </w:pPr>
            <w:r>
              <w:rPr>
                <w:rFonts w:ascii="思源黑体 CN Normal" w:hAnsi="思源黑体 CN Normal" w:eastAsia="思源黑体 CN Normal" w:cs="Times New Roman"/>
                <w:b/>
                <w:bCs/>
              </w:rPr>
              <w:t>比赛任务</w:t>
            </w:r>
          </w:p>
        </w:tc>
        <w:tc>
          <w:tcPr>
            <w:tcW w:w="1663" w:type="dxa"/>
            <w:shd w:val="clear" w:color="auto" w:fill="auto"/>
            <w:vAlign w:val="center"/>
          </w:tcPr>
          <w:p>
            <w:pPr>
              <w:jc w:val="center"/>
              <w:rPr>
                <w:rFonts w:ascii="思源黑体 CN Normal" w:hAnsi="思源黑体 CN Normal" w:eastAsia="思源黑体 CN Normal"/>
                <w:b/>
                <w:bCs/>
              </w:rPr>
            </w:pPr>
            <w:r>
              <w:rPr>
                <w:rFonts w:ascii="思源黑体 CN Normal" w:hAnsi="思源黑体 CN Normal" w:eastAsia="思源黑体 CN Normal" w:cs="Times New Roman"/>
                <w:b/>
                <w:bCs/>
              </w:rPr>
              <w:t>得分道具</w:t>
            </w:r>
          </w:p>
        </w:tc>
        <w:tc>
          <w:tcPr>
            <w:tcW w:w="1498" w:type="dxa"/>
            <w:shd w:val="clear" w:color="auto" w:fill="auto"/>
            <w:vAlign w:val="center"/>
          </w:tcPr>
          <w:p>
            <w:pPr>
              <w:jc w:val="center"/>
              <w:rPr>
                <w:rFonts w:ascii="思源黑体 CN Normal" w:hAnsi="思源黑体 CN Normal" w:eastAsia="思源黑体 CN Normal"/>
                <w:b/>
                <w:bCs/>
              </w:rPr>
            </w:pPr>
            <w:r>
              <w:rPr>
                <w:rFonts w:ascii="思源黑体 CN Normal" w:hAnsi="思源黑体 CN Normal" w:eastAsia="思源黑体 CN Normal" w:cs="Times New Roman"/>
                <w:b/>
                <w:bCs/>
              </w:rPr>
              <w:t>单个道具得分</w:t>
            </w:r>
          </w:p>
        </w:tc>
        <w:tc>
          <w:tcPr>
            <w:tcW w:w="1937" w:type="dxa"/>
            <w:shd w:val="clear" w:color="auto" w:fill="auto"/>
            <w:vAlign w:val="center"/>
          </w:tcPr>
          <w:p>
            <w:pPr>
              <w:jc w:val="center"/>
              <w:rPr>
                <w:rFonts w:hint="default" w:ascii="思源黑体 CN Normal" w:hAnsi="思源黑体 CN Normal" w:eastAsia="思源黑体 CN Normal" w:cs="Times New Roman"/>
                <w:b/>
                <w:bCs/>
                <w:highlight w:val="none"/>
                <w:lang w:val="en-US" w:eastAsia="zh-CN"/>
              </w:rPr>
            </w:pPr>
            <w:r>
              <w:rPr>
                <w:rFonts w:hint="eastAsia" w:ascii="思源黑体 CN Normal" w:hAnsi="思源黑体 CN Normal" w:eastAsia="思源黑体 CN Normal" w:cs="Times New Roman"/>
                <w:b/>
                <w:bCs/>
                <w:highlight w:val="none"/>
                <w:lang w:val="en-US" w:eastAsia="zh-CN"/>
              </w:rPr>
              <w:t>得分道具数量上限</w:t>
            </w:r>
          </w:p>
        </w:tc>
        <w:tc>
          <w:tcPr>
            <w:tcW w:w="1395" w:type="dxa"/>
            <w:shd w:val="clear" w:color="auto" w:fill="auto"/>
            <w:vAlign w:val="center"/>
          </w:tcPr>
          <w:p>
            <w:pPr>
              <w:jc w:val="center"/>
              <w:rPr>
                <w:rFonts w:ascii="思源黑体 CN Normal" w:hAnsi="思源黑体 CN Normal" w:eastAsia="思源黑体 CN Normal" w:cstheme="minorBidi"/>
                <w:b/>
                <w:bCs/>
                <w:kern w:val="2"/>
                <w:szCs w:val="22"/>
                <w:lang w:val="en-US" w:eastAsia="zh-CN" w:bidi="ar-SA"/>
              </w:rPr>
            </w:pPr>
            <w:r>
              <w:rPr>
                <w:rFonts w:ascii="思源黑体 CN Normal" w:hAnsi="思源黑体 CN Normal" w:eastAsia="思源黑体 CN Normal" w:cs="Times New Roman"/>
                <w:b/>
                <w:bCs/>
              </w:rPr>
              <w:t>任务得分上限</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836" w:type="dxa"/>
            <w:vAlign w:val="center"/>
          </w:tcPr>
          <w:p>
            <w:pPr>
              <w:jc w:val="center"/>
              <w:rPr>
                <w:rFonts w:ascii="思源黑体 CN Normal" w:hAnsi="思源黑体 CN Normal" w:eastAsia="思源黑体 CN Normal"/>
                <w:b/>
                <w:bCs/>
              </w:rPr>
            </w:pPr>
            <w:r>
              <w:rPr>
                <w:rFonts w:ascii="思源黑体 CN Normal" w:hAnsi="思源黑体 CN Normal" w:eastAsia="思源黑体 CN Normal" w:cs="Times New Roman"/>
                <w:b/>
                <w:bCs/>
              </w:rPr>
              <w:t xml:space="preserve"> 安装防泄漏装置</w:t>
            </w:r>
          </w:p>
        </w:tc>
        <w:tc>
          <w:tcPr>
            <w:tcW w:w="1663" w:type="dxa"/>
            <w:shd w:val="clear" w:color="auto" w:fill="auto"/>
            <w:vAlign w:val="center"/>
          </w:tcPr>
          <w:p>
            <w:pPr>
              <w:jc w:val="center"/>
              <w:rPr>
                <w:rFonts w:ascii="思源黑体 CN Normal" w:hAnsi="思源黑体 CN Normal" w:eastAsia="思源黑体 CN Normal"/>
              </w:rPr>
            </w:pPr>
            <w:r>
              <w:rPr>
                <w:rFonts w:hint="eastAsia" w:ascii="思源黑体 CN Normal" w:hAnsi="思源黑体 CN Normal" w:eastAsia="思源黑体 CN Normal"/>
              </w:rPr>
              <w:t>方块</w:t>
            </w:r>
          </w:p>
        </w:tc>
        <w:tc>
          <w:tcPr>
            <w:tcW w:w="1498" w:type="dxa"/>
            <w:shd w:val="clear" w:color="auto" w:fill="auto"/>
            <w:vAlign w:val="center"/>
          </w:tcPr>
          <w:p>
            <w:pPr>
              <w:jc w:val="center"/>
              <w:rPr>
                <w:rFonts w:ascii="思源黑体 CN Normal" w:hAnsi="思源黑体 CN Normal" w:eastAsia="思源黑体 CN Normal"/>
              </w:rPr>
            </w:pPr>
            <w:r>
              <w:rPr>
                <w:rFonts w:hint="eastAsia" w:ascii="思源黑体 CN Normal" w:hAnsi="思源黑体 CN Normal" w:eastAsia="思源黑体 CN Normal"/>
              </w:rPr>
              <w:t>4</w:t>
            </w:r>
            <w:r>
              <w:rPr>
                <w:rFonts w:ascii="思源黑体 CN Normal" w:hAnsi="思源黑体 CN Normal" w:eastAsia="思源黑体 CN Normal"/>
              </w:rPr>
              <w:t>0</w:t>
            </w:r>
            <w:r>
              <w:rPr>
                <w:rFonts w:hint="eastAsia" w:ascii="思源黑体 CN Normal" w:hAnsi="思源黑体 CN Normal" w:eastAsia="思源黑体 CN Normal"/>
              </w:rPr>
              <w:t>分</w:t>
            </w:r>
          </w:p>
        </w:tc>
        <w:tc>
          <w:tcPr>
            <w:tcW w:w="1937" w:type="dxa"/>
            <w:vAlign w:val="center"/>
          </w:tcPr>
          <w:p>
            <w:pPr>
              <w:jc w:val="center"/>
              <w:rPr>
                <w:rFonts w:hint="default" w:ascii="思源黑体 CN Normal" w:hAnsi="思源黑体 CN Normal" w:eastAsia="思源黑体 CN Normal" w:cs="Times New Roman"/>
                <w:highlight w:val="none"/>
                <w:lang w:val="en-US" w:eastAsia="zh-CN"/>
              </w:rPr>
            </w:pPr>
            <w:r>
              <w:rPr>
                <w:rFonts w:hint="eastAsia" w:ascii="思源黑体 CN Normal" w:hAnsi="思源黑体 CN Normal" w:eastAsia="思源黑体 CN Normal" w:cs="Times New Roman"/>
                <w:highlight w:val="none"/>
                <w:lang w:val="en-US" w:eastAsia="zh-CN"/>
              </w:rPr>
              <w:t>3个</w:t>
            </w:r>
          </w:p>
        </w:tc>
        <w:tc>
          <w:tcPr>
            <w:tcW w:w="1395" w:type="dxa"/>
            <w:vAlign w:val="center"/>
          </w:tcPr>
          <w:p>
            <w:pPr>
              <w:jc w:val="center"/>
              <w:rPr>
                <w:rFonts w:ascii="思源黑体 CN Normal" w:hAnsi="思源黑体 CN Normal" w:eastAsia="思源黑体 CN Normal" w:cstheme="minorBidi"/>
                <w:kern w:val="2"/>
                <w:szCs w:val="22"/>
                <w:lang w:val="en-US" w:eastAsia="zh-CN" w:bidi="ar-SA"/>
              </w:rPr>
            </w:pPr>
            <w:r>
              <w:rPr>
                <w:rFonts w:ascii="思源黑体 CN Normal" w:hAnsi="思源黑体 CN Normal" w:eastAsia="思源黑体 CN Normal" w:cs="Times New Roman"/>
              </w:rPr>
              <w:t>120分</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836" w:type="dxa"/>
            <w:vMerge w:val="restart"/>
            <w:vAlign w:val="center"/>
          </w:tcPr>
          <w:p>
            <w:pPr>
              <w:jc w:val="center"/>
              <w:rPr>
                <w:rFonts w:ascii="思源黑体 CN Normal" w:hAnsi="思源黑体 CN Normal" w:eastAsia="思源黑体 CN Normal"/>
                <w:b/>
                <w:bCs/>
              </w:rPr>
            </w:pPr>
            <w:r>
              <w:rPr>
                <w:rFonts w:ascii="思源黑体 CN Normal" w:hAnsi="思源黑体 CN Normal" w:eastAsia="思源黑体 CN Normal" w:cs="Times New Roman"/>
                <w:b/>
                <w:bCs/>
              </w:rPr>
              <w:t xml:space="preserve"> 转移碳捕捉容器</w:t>
            </w:r>
          </w:p>
        </w:tc>
        <w:tc>
          <w:tcPr>
            <w:tcW w:w="1663" w:type="dxa"/>
            <w:vAlign w:val="center"/>
          </w:tcPr>
          <w:p>
            <w:pPr>
              <w:jc w:val="center"/>
              <w:rPr>
                <w:rFonts w:ascii="思源黑体 CN Normal" w:hAnsi="思源黑体 CN Normal" w:eastAsia="思源黑体 CN Normal"/>
              </w:rPr>
            </w:pPr>
            <w:r>
              <w:rPr>
                <w:rFonts w:ascii="思源黑体 CN Normal" w:hAnsi="思源黑体 CN Normal" w:eastAsia="思源黑体 CN Normal" w:cs="Times New Roman"/>
              </w:rPr>
              <w:t xml:space="preserve">大球 </w:t>
            </w:r>
          </w:p>
        </w:tc>
        <w:tc>
          <w:tcPr>
            <w:tcW w:w="1498" w:type="dxa"/>
            <w:vAlign w:val="center"/>
          </w:tcPr>
          <w:p>
            <w:pPr>
              <w:jc w:val="center"/>
              <w:rPr>
                <w:rFonts w:ascii="思源黑体 CN Normal" w:hAnsi="思源黑体 CN Normal" w:eastAsia="思源黑体 CN Normal"/>
              </w:rPr>
            </w:pPr>
            <w:r>
              <w:rPr>
                <w:rFonts w:ascii="思源黑体 CN Normal" w:hAnsi="思源黑体 CN Normal" w:eastAsia="思源黑体 CN Normal" w:cs="Times New Roman"/>
              </w:rPr>
              <w:t>60分</w:t>
            </w:r>
          </w:p>
        </w:tc>
        <w:tc>
          <w:tcPr>
            <w:tcW w:w="1937" w:type="dxa"/>
            <w:vAlign w:val="center"/>
          </w:tcPr>
          <w:p>
            <w:pPr>
              <w:jc w:val="center"/>
              <w:rPr>
                <w:rFonts w:hint="default" w:ascii="思源黑体 CN Normal" w:hAnsi="思源黑体 CN Normal" w:eastAsia="思源黑体 CN Normal" w:cs="Times New Roman"/>
                <w:highlight w:val="none"/>
                <w:lang w:val="en-US" w:eastAsia="zh-CN"/>
              </w:rPr>
            </w:pPr>
            <w:r>
              <w:rPr>
                <w:rFonts w:hint="eastAsia" w:ascii="思源黑体 CN Normal" w:hAnsi="思源黑体 CN Normal" w:eastAsia="思源黑体 CN Normal" w:cs="Times New Roman"/>
                <w:highlight w:val="none"/>
                <w:lang w:val="en-US" w:eastAsia="zh-CN"/>
              </w:rPr>
              <w:t>6个</w:t>
            </w:r>
          </w:p>
        </w:tc>
        <w:tc>
          <w:tcPr>
            <w:tcW w:w="1395" w:type="dxa"/>
            <w:vAlign w:val="center"/>
          </w:tcPr>
          <w:p>
            <w:pPr>
              <w:jc w:val="center"/>
              <w:rPr>
                <w:rFonts w:ascii="思源黑体 CN Normal" w:hAnsi="思源黑体 CN Normal" w:eastAsia="思源黑体 CN Normal" w:cstheme="minorBidi"/>
                <w:kern w:val="2"/>
                <w:szCs w:val="22"/>
                <w:lang w:val="en-US" w:eastAsia="zh-CN" w:bidi="ar-SA"/>
              </w:rPr>
            </w:pPr>
            <w:r>
              <w:rPr>
                <w:rFonts w:ascii="思源黑体 CN Normal" w:hAnsi="思源黑体 CN Normal" w:eastAsia="思源黑体 CN Normal" w:cs="Times New Roman"/>
              </w:rPr>
              <w:t>360分</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836" w:type="dxa"/>
            <w:vMerge w:val="continue"/>
            <w:vAlign w:val="center"/>
          </w:tcPr>
          <w:p>
            <w:pPr>
              <w:jc w:val="center"/>
              <w:rPr>
                <w:rFonts w:ascii="思源黑体 CN Normal" w:hAnsi="思源黑体 CN Normal" w:eastAsia="思源黑体 CN Normal" w:cs="Times New Roman"/>
                <w:b/>
                <w:bCs/>
              </w:rPr>
            </w:pPr>
          </w:p>
        </w:tc>
        <w:tc>
          <w:tcPr>
            <w:tcW w:w="1663" w:type="dxa"/>
            <w:vAlign w:val="center"/>
          </w:tcPr>
          <w:p>
            <w:pPr>
              <w:jc w:val="center"/>
              <w:rPr>
                <w:rFonts w:ascii="思源黑体 CN Normal" w:hAnsi="思源黑体 CN Normal" w:eastAsia="思源黑体 CN Normal" w:cs="Times New Roman"/>
              </w:rPr>
            </w:pPr>
            <w:r>
              <w:rPr>
                <w:rFonts w:ascii="思源黑体 CN Normal" w:hAnsi="思源黑体 CN Normal" w:eastAsia="思源黑体 CN Normal" w:cs="Times New Roman"/>
              </w:rPr>
              <w:t>小球</w:t>
            </w:r>
          </w:p>
        </w:tc>
        <w:tc>
          <w:tcPr>
            <w:tcW w:w="1498" w:type="dxa"/>
            <w:vAlign w:val="center"/>
          </w:tcPr>
          <w:p>
            <w:pPr>
              <w:jc w:val="center"/>
              <w:rPr>
                <w:rFonts w:ascii="思源黑体 CN Normal" w:hAnsi="思源黑体 CN Normal" w:eastAsia="思源黑体 CN Normal" w:cs="Times New Roman"/>
              </w:rPr>
            </w:pPr>
            <w:r>
              <w:rPr>
                <w:rFonts w:hint="eastAsia" w:ascii="思源黑体 CN Normal" w:hAnsi="思源黑体 CN Normal" w:eastAsia="思源黑体 CN Normal" w:cs="Times New Roman"/>
              </w:rPr>
              <w:t>3</w:t>
            </w:r>
            <w:r>
              <w:rPr>
                <w:rFonts w:ascii="思源黑体 CN Normal" w:hAnsi="思源黑体 CN Normal" w:eastAsia="思源黑体 CN Normal" w:cs="Times New Roman"/>
              </w:rPr>
              <w:t>0</w:t>
            </w:r>
            <w:r>
              <w:rPr>
                <w:rFonts w:hint="eastAsia" w:ascii="思源黑体 CN Normal" w:hAnsi="思源黑体 CN Normal" w:eastAsia="思源黑体 CN Normal" w:cs="Times New Roman"/>
              </w:rPr>
              <w:t>分</w:t>
            </w:r>
          </w:p>
        </w:tc>
        <w:tc>
          <w:tcPr>
            <w:tcW w:w="1937" w:type="dxa"/>
            <w:vAlign w:val="center"/>
          </w:tcPr>
          <w:p>
            <w:pPr>
              <w:jc w:val="center"/>
              <w:rPr>
                <w:rFonts w:hint="default" w:ascii="思源黑体 CN Normal" w:hAnsi="思源黑体 CN Normal" w:eastAsia="思源黑体 CN Normal" w:cs="Times New Roman"/>
                <w:highlight w:val="none"/>
                <w:lang w:val="en-US" w:eastAsia="zh-CN"/>
              </w:rPr>
            </w:pPr>
            <w:r>
              <w:rPr>
                <w:rFonts w:hint="eastAsia" w:ascii="思源黑体 CN Normal" w:hAnsi="思源黑体 CN Normal" w:eastAsia="思源黑体 CN Normal" w:cs="Times New Roman"/>
                <w:highlight w:val="none"/>
                <w:lang w:val="en-US" w:eastAsia="zh-CN"/>
              </w:rPr>
              <w:t>16个</w:t>
            </w:r>
          </w:p>
        </w:tc>
        <w:tc>
          <w:tcPr>
            <w:tcW w:w="1395" w:type="dxa"/>
            <w:vAlign w:val="center"/>
          </w:tcPr>
          <w:p>
            <w:pPr>
              <w:jc w:val="center"/>
              <w:rPr>
                <w:rFonts w:ascii="思源黑体 CN Normal" w:hAnsi="思源黑体 CN Normal" w:eastAsia="思源黑体 CN Normal" w:cs="Times New Roman"/>
                <w:kern w:val="2"/>
                <w:szCs w:val="22"/>
                <w:lang w:val="en-US" w:eastAsia="zh-CN" w:bidi="ar-SA"/>
              </w:rPr>
            </w:pPr>
            <w:r>
              <w:rPr>
                <w:rFonts w:ascii="思源黑体 CN Normal" w:hAnsi="思源黑体 CN Normal" w:eastAsia="思源黑体 CN Normal" w:cs="Times New Roman"/>
              </w:rPr>
              <w:t>480分</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836" w:type="dxa"/>
            <w:vAlign w:val="center"/>
          </w:tcPr>
          <w:p>
            <w:pPr>
              <w:jc w:val="center"/>
              <w:rPr>
                <w:rFonts w:ascii="思源黑体 CN Normal" w:hAnsi="思源黑体 CN Normal" w:eastAsia="思源黑体 CN Normal"/>
                <w:b/>
                <w:bCs/>
              </w:rPr>
            </w:pPr>
            <w:r>
              <w:rPr>
                <w:rFonts w:ascii="思源黑体 CN Normal" w:hAnsi="思源黑体 CN Normal" w:eastAsia="思源黑体 CN Normal" w:cs="Times New Roman"/>
                <w:b/>
                <w:bCs/>
              </w:rPr>
              <w:t xml:space="preserve"> 插入环保旗帜 </w:t>
            </w:r>
          </w:p>
        </w:tc>
        <w:tc>
          <w:tcPr>
            <w:tcW w:w="1663" w:type="dxa"/>
            <w:vAlign w:val="center"/>
          </w:tcPr>
          <w:p>
            <w:pPr>
              <w:jc w:val="center"/>
              <w:rPr>
                <w:rFonts w:ascii="思源黑体 CN Normal" w:hAnsi="思源黑体 CN Normal" w:eastAsia="思源黑体 CN Normal"/>
              </w:rPr>
            </w:pPr>
            <w:r>
              <w:rPr>
                <w:rFonts w:ascii="思源黑体 CN Normal" w:hAnsi="思源黑体 CN Normal" w:eastAsia="思源黑体 CN Normal" w:cs="Times New Roman"/>
              </w:rPr>
              <w:t>环保旗帜</w:t>
            </w:r>
          </w:p>
        </w:tc>
        <w:tc>
          <w:tcPr>
            <w:tcW w:w="1498" w:type="dxa"/>
            <w:vAlign w:val="center"/>
          </w:tcPr>
          <w:p>
            <w:pPr>
              <w:jc w:val="center"/>
              <w:rPr>
                <w:rFonts w:ascii="思源黑体 CN Normal" w:hAnsi="思源黑体 CN Normal" w:eastAsia="思源黑体 CN Normal"/>
              </w:rPr>
            </w:pPr>
            <w:r>
              <w:rPr>
                <w:rFonts w:ascii="思源黑体 CN Normal" w:hAnsi="思源黑体 CN Normal" w:eastAsia="思源黑体 CN Normal" w:cs="Times New Roman"/>
              </w:rPr>
              <w:t>50分</w:t>
            </w:r>
          </w:p>
        </w:tc>
        <w:tc>
          <w:tcPr>
            <w:tcW w:w="1937" w:type="dxa"/>
            <w:vAlign w:val="center"/>
          </w:tcPr>
          <w:p>
            <w:pPr>
              <w:jc w:val="center"/>
              <w:rPr>
                <w:rFonts w:hint="default" w:ascii="思源黑体 CN Normal" w:hAnsi="思源黑体 CN Normal" w:eastAsia="思源黑体 CN Normal" w:cs="Times New Roman"/>
                <w:highlight w:val="none"/>
                <w:lang w:val="en-US" w:eastAsia="zh-CN"/>
              </w:rPr>
            </w:pPr>
            <w:r>
              <w:rPr>
                <w:rFonts w:hint="eastAsia" w:ascii="思源黑体 CN Normal" w:hAnsi="思源黑体 CN Normal" w:eastAsia="思源黑体 CN Normal" w:cs="Times New Roman"/>
                <w:highlight w:val="none"/>
                <w:lang w:val="en-US" w:eastAsia="zh-CN"/>
              </w:rPr>
              <w:t>2面</w:t>
            </w:r>
          </w:p>
        </w:tc>
        <w:tc>
          <w:tcPr>
            <w:tcW w:w="1395" w:type="dxa"/>
            <w:vAlign w:val="center"/>
          </w:tcPr>
          <w:p>
            <w:pPr>
              <w:jc w:val="center"/>
              <w:rPr>
                <w:rFonts w:ascii="思源黑体 CN Normal" w:hAnsi="思源黑体 CN Normal" w:eastAsia="思源黑体 CN Normal" w:cstheme="minorBidi"/>
                <w:kern w:val="2"/>
                <w:szCs w:val="22"/>
                <w:lang w:val="en-US" w:eastAsia="zh-CN" w:bidi="ar-SA"/>
              </w:rPr>
            </w:pPr>
            <w:r>
              <w:rPr>
                <w:rFonts w:ascii="思源黑体 CN Normal" w:hAnsi="思源黑体 CN Normal" w:eastAsia="思源黑体 CN Normal" w:cs="Times New Roman"/>
              </w:rPr>
              <w:t>100分</w:t>
            </w:r>
          </w:p>
        </w:tc>
      </w:tr>
    </w:tbl>
    <w:p>
      <w:pPr>
        <w:pStyle w:val="81"/>
      </w:pPr>
      <w:bookmarkStart w:id="6" w:name="_Toc26306"/>
      <w:r>
        <w:rPr>
          <w:rFonts w:hint="eastAsia"/>
        </w:rPr>
        <w:t>单场比赛流程</w:t>
      </w:r>
      <w:bookmarkEnd w:id="6"/>
    </w:p>
    <w:p>
      <w:pPr>
        <w:widowControl/>
        <w:spacing w:after="156" w:afterLines="50" w:line="240" w:lineRule="auto"/>
        <w:jc w:val="center"/>
        <w:rPr>
          <w:rFonts w:cs="微软雅黑"/>
          <w:sz w:val="24"/>
          <w:szCs w:val="21"/>
        </w:rPr>
      </w:pPr>
      <w:r>
        <w:rPr>
          <w:b w:val="0"/>
          <w:color w:val="auto"/>
        </w:rPr>
        <w:drawing>
          <wp:anchor distT="0" distB="0" distL="114300" distR="114300" simplePos="0" relativeHeight="251676672" behindDoc="0" locked="0" layoutInCell="1" allowOverlap="1">
            <wp:simplePos x="0" y="0"/>
            <wp:positionH relativeFrom="column">
              <wp:posOffset>278130</wp:posOffset>
            </wp:positionH>
            <wp:positionV relativeFrom="paragraph">
              <wp:posOffset>47625</wp:posOffset>
            </wp:positionV>
            <wp:extent cx="5278120" cy="600075"/>
            <wp:effectExtent l="0" t="0" r="0" b="9525"/>
            <wp:wrapTopAndBottom/>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278120" cy="600075"/>
                    </a:xfrm>
                    <a:prstGeom prst="rect">
                      <a:avLst/>
                    </a:prstGeom>
                    <a:noFill/>
                  </pic:spPr>
                </pic:pic>
              </a:graphicData>
            </a:graphic>
          </wp:anchor>
        </w:drawing>
      </w:r>
      <w:r>
        <w:rPr>
          <w:rFonts w:hint="eastAsia" w:cs="微软雅黑"/>
          <w:sz w:val="24"/>
          <w:szCs w:val="21"/>
        </w:rPr>
        <w:t>图</w:t>
      </w:r>
      <w:r>
        <w:rPr>
          <w:rFonts w:cs="微软雅黑"/>
          <w:sz w:val="24"/>
          <w:szCs w:val="21"/>
        </w:rPr>
        <w:t>4.6 单场比赛流程图</w:t>
      </w:r>
    </w:p>
    <w:p>
      <w:pPr>
        <w:pStyle w:val="63"/>
      </w:pPr>
      <w:r>
        <w:rPr>
          <w:rFonts w:hint="eastAsia"/>
        </w:rPr>
        <w:t>到场准备</w:t>
      </w:r>
    </w:p>
    <w:p>
      <w:pPr>
        <w:pStyle w:val="30"/>
        <w:contextualSpacing/>
        <w:rPr>
          <w:bCs/>
          <w:color w:val="auto"/>
        </w:rPr>
      </w:pPr>
      <w:r>
        <w:rPr>
          <w:rFonts w:hint="eastAsia"/>
          <w:bCs/>
          <w:color w:val="auto"/>
        </w:rPr>
        <w:t>单场比赛开始前，选手应按照赛程时间提前抵达场地，并在裁判的引导下做好以下准备：</w:t>
      </w:r>
    </w:p>
    <w:p>
      <w:pPr>
        <w:pStyle w:val="30"/>
        <w:contextualSpacing/>
        <w:rPr>
          <w:bCs/>
          <w:color w:val="auto"/>
        </w:rPr>
      </w:pPr>
      <w:r>
        <w:rPr>
          <w:rFonts w:hint="eastAsia"/>
          <w:bCs/>
          <w:color w:val="auto"/>
        </w:rPr>
        <w:t>（1）</w:t>
      </w:r>
      <w:r>
        <w:rPr>
          <w:bCs/>
          <w:color w:val="auto"/>
        </w:rPr>
        <w:t>将机器人电源保持开启状态，完全放在本方启动区内，蓝牙手柄保持开启状态，放在场地外侧；</w:t>
      </w:r>
    </w:p>
    <w:p>
      <w:pPr>
        <w:pStyle w:val="30"/>
        <w:contextualSpacing/>
        <w:rPr>
          <w:bCs/>
          <w:color w:val="auto"/>
        </w:rPr>
      </w:pPr>
      <w:r>
        <w:rPr>
          <w:rFonts w:hint="eastAsia"/>
          <w:bCs/>
          <w:color w:val="auto"/>
        </w:rPr>
        <w:t>（2）</w:t>
      </w:r>
      <w:r>
        <w:rPr>
          <w:bCs/>
          <w:color w:val="auto"/>
        </w:rPr>
        <w:t>双方共同指派一名</w:t>
      </w:r>
      <w:r>
        <w:rPr>
          <w:rFonts w:hint="eastAsia"/>
          <w:bCs/>
          <w:color w:val="auto"/>
          <w:lang w:val="en-US" w:eastAsia="zh-CN"/>
        </w:rPr>
        <w:t>联盟</w:t>
      </w:r>
      <w:r>
        <w:rPr>
          <w:bCs/>
          <w:color w:val="auto"/>
        </w:rPr>
        <w:t>代表抽取道具卡，并按照道具卡摆放方块；</w:t>
      </w:r>
    </w:p>
    <w:p>
      <w:pPr>
        <w:pStyle w:val="30"/>
        <w:contextualSpacing/>
        <w:rPr>
          <w:bCs/>
          <w:color w:val="auto"/>
        </w:rPr>
      </w:pPr>
      <w:r>
        <w:rPr>
          <w:rFonts w:hint="eastAsia"/>
          <w:bCs/>
          <w:color w:val="auto"/>
        </w:rPr>
        <w:t>（</w:t>
      </w:r>
      <w:r>
        <w:rPr>
          <w:bCs/>
          <w:color w:val="auto"/>
        </w:rPr>
        <w:t>3</w:t>
      </w:r>
      <w:r>
        <w:rPr>
          <w:rFonts w:hint="eastAsia"/>
          <w:bCs/>
          <w:color w:val="auto"/>
        </w:rPr>
        <w:t>）</w:t>
      </w:r>
      <w:r>
        <w:rPr>
          <w:bCs/>
          <w:color w:val="auto"/>
        </w:rPr>
        <w:t>相互检查双方场地和道具摆放是否规范。</w:t>
      </w:r>
    </w:p>
    <w:p>
      <w:pPr>
        <w:pStyle w:val="63"/>
      </w:pPr>
      <w:r>
        <w:rPr>
          <w:rFonts w:hint="eastAsia"/>
        </w:rPr>
        <w:t>自动控制阶段</w:t>
      </w:r>
    </w:p>
    <w:p>
      <w:pPr>
        <w:pStyle w:val="30"/>
        <w:contextualSpacing/>
        <w:rPr>
          <w:bCs/>
          <w:color w:val="auto"/>
        </w:rPr>
      </w:pPr>
      <w:r>
        <w:rPr>
          <w:rFonts w:hint="eastAsia"/>
          <w:bCs/>
          <w:color w:val="auto"/>
        </w:rPr>
        <w:t>裁判宣布</w:t>
      </w:r>
      <w:r>
        <w:rPr>
          <w:bCs/>
          <w:color w:val="auto"/>
        </w:rPr>
        <w:t>5秒倒计时，比赛开始：</w:t>
      </w:r>
    </w:p>
    <w:p>
      <w:pPr>
        <w:pStyle w:val="30"/>
        <w:contextualSpacing/>
        <w:rPr>
          <w:bCs/>
          <w:color w:val="auto"/>
        </w:rPr>
      </w:pPr>
      <w:r>
        <w:rPr>
          <w:rFonts w:hint="eastAsia"/>
          <w:bCs/>
          <w:color w:val="auto"/>
        </w:rPr>
        <w:t>（1）</w:t>
      </w:r>
      <w:r>
        <w:rPr>
          <w:bCs/>
          <w:color w:val="auto"/>
        </w:rPr>
        <w:t>自动程序</w:t>
      </w:r>
      <w:r>
        <w:rPr>
          <w:rFonts w:hint="eastAsia"/>
          <w:bCs/>
          <w:color w:val="auto"/>
        </w:rPr>
        <w:t>运行</w:t>
      </w:r>
      <w:r>
        <w:rPr>
          <w:bCs/>
          <w:color w:val="auto"/>
        </w:rPr>
        <w:t>后，</w:t>
      </w:r>
      <w:r>
        <w:rPr>
          <w:rFonts w:hint="eastAsia"/>
          <w:bCs/>
          <w:color w:val="auto"/>
        </w:rPr>
        <w:t>选手</w:t>
      </w:r>
      <w:r>
        <w:rPr>
          <w:bCs/>
          <w:color w:val="auto"/>
        </w:rPr>
        <w:t>不得再触碰机器人；</w:t>
      </w:r>
    </w:p>
    <w:p>
      <w:pPr>
        <w:pStyle w:val="30"/>
        <w:contextualSpacing/>
        <w:rPr>
          <w:bCs/>
          <w:color w:val="auto"/>
        </w:rPr>
      </w:pPr>
      <w:r>
        <w:rPr>
          <w:rFonts w:hint="eastAsia"/>
          <w:bCs/>
          <w:color w:val="auto"/>
        </w:rPr>
        <w:t>（2）</w:t>
      </w:r>
      <w:r>
        <w:rPr>
          <w:bCs/>
          <w:color w:val="auto"/>
        </w:rPr>
        <w:t>自动阶段结束之前，机器人应当完成自动程序运行并保持静止状态；机器人无需返回启动区；</w:t>
      </w:r>
    </w:p>
    <w:p>
      <w:pPr>
        <w:pStyle w:val="30"/>
        <w:contextualSpacing/>
        <w:rPr>
          <w:bCs/>
          <w:color w:val="auto"/>
        </w:rPr>
      </w:pPr>
      <w:r>
        <w:rPr>
          <w:rFonts w:hint="eastAsia"/>
          <w:bCs/>
          <w:color w:val="auto"/>
        </w:rPr>
        <w:t>（3）</w:t>
      </w:r>
      <w:r>
        <w:rPr>
          <w:bCs/>
          <w:color w:val="auto"/>
        </w:rPr>
        <w:t>机器人不得抢夺或直接接触中央区的道具，仅可利用本方道具完成任务。具体规则请参考</w:t>
      </w:r>
      <w:r>
        <w:rPr>
          <w:rFonts w:hint="eastAsia"/>
          <w:bCs/>
          <w:color w:val="auto"/>
        </w:rPr>
        <w:t>“</w:t>
      </w:r>
      <w:r>
        <w:rPr>
          <w:bCs/>
          <w:color w:val="auto"/>
        </w:rPr>
        <w:t>6.2 比赛</w:t>
      </w:r>
      <w:r>
        <w:rPr>
          <w:rFonts w:hint="eastAsia"/>
          <w:bCs/>
          <w:color w:val="auto"/>
        </w:rPr>
        <w:t>规则</w:t>
      </w:r>
      <w:r>
        <w:rPr>
          <w:bCs/>
          <w:color w:val="auto"/>
        </w:rPr>
        <w:t>-操作</w:t>
      </w:r>
      <w:r>
        <w:rPr>
          <w:rFonts w:hint="eastAsia"/>
          <w:bCs/>
          <w:color w:val="auto"/>
        </w:rPr>
        <w:t>规则”。</w:t>
      </w:r>
    </w:p>
    <w:p>
      <w:pPr>
        <w:pStyle w:val="30"/>
        <w:contextualSpacing/>
        <w:rPr>
          <w:bCs/>
          <w:color w:val="auto"/>
        </w:rPr>
      </w:pPr>
      <w:r>
        <w:rPr>
          <w:rFonts w:hint="eastAsia"/>
          <w:bCs/>
          <w:color w:val="auto"/>
        </w:rPr>
        <w:t>裁判宣布</w:t>
      </w:r>
      <w:r>
        <w:rPr>
          <w:bCs/>
          <w:color w:val="auto"/>
        </w:rPr>
        <w:t>5秒倒计时，自动控制阶段结束。</w:t>
      </w:r>
    </w:p>
    <w:p>
      <w:pPr>
        <w:pStyle w:val="63"/>
      </w:pPr>
      <w:r>
        <w:rPr>
          <w:rFonts w:hint="eastAsia"/>
        </w:rPr>
        <w:t>手动控制阶段</w:t>
      </w:r>
    </w:p>
    <w:p>
      <w:pPr>
        <w:pStyle w:val="30"/>
        <w:contextualSpacing/>
        <w:rPr>
          <w:bCs/>
          <w:color w:val="auto"/>
        </w:rPr>
      </w:pPr>
      <w:r>
        <w:rPr>
          <w:rFonts w:hint="eastAsia"/>
          <w:bCs/>
          <w:color w:val="auto"/>
        </w:rPr>
        <w:t>裁判宣布</w:t>
      </w:r>
      <w:r>
        <w:rPr>
          <w:bCs/>
          <w:color w:val="auto"/>
        </w:rPr>
        <w:t>5秒倒计时，比赛开始：</w:t>
      </w:r>
    </w:p>
    <w:p>
      <w:pPr>
        <w:pStyle w:val="30"/>
        <w:contextualSpacing/>
        <w:rPr>
          <w:rFonts w:hint="eastAsia" w:eastAsia="思源黑体 CN Regular"/>
          <w:bCs/>
          <w:color w:val="auto"/>
          <w:lang w:eastAsia="zh-CN"/>
        </w:rPr>
      </w:pPr>
      <w:r>
        <w:rPr>
          <w:bCs/>
          <w:color w:val="auto"/>
        </w:rPr>
        <w:t>选手拿起手柄操控机器人</w:t>
      </w:r>
      <w:r>
        <w:rPr>
          <w:rFonts w:hint="eastAsia"/>
          <w:bCs/>
          <w:color w:val="auto"/>
          <w:lang w:eastAsia="zh-CN"/>
        </w:rPr>
        <w:t>。</w:t>
      </w:r>
    </w:p>
    <w:p>
      <w:pPr>
        <w:pStyle w:val="30"/>
        <w:contextualSpacing/>
        <w:rPr>
          <w:bCs/>
          <w:color w:val="auto"/>
        </w:rPr>
      </w:pPr>
      <w:r>
        <w:rPr>
          <w:rFonts w:hint="eastAsia"/>
          <w:bCs/>
          <w:color w:val="auto"/>
        </w:rPr>
        <w:t>裁判宣布</w:t>
      </w:r>
      <w:r>
        <w:rPr>
          <w:bCs/>
          <w:color w:val="auto"/>
        </w:rPr>
        <w:t>5秒倒计时，手动阶段结束。</w:t>
      </w:r>
      <w:r>
        <w:rPr>
          <w:rFonts w:hint="eastAsia"/>
          <w:bCs/>
          <w:color w:val="auto"/>
        </w:rPr>
        <w:t>手</w:t>
      </w:r>
      <w:r>
        <w:rPr>
          <w:bCs/>
          <w:color w:val="auto"/>
        </w:rPr>
        <w:t>动阶段结束后选手立即放下手柄停止操控。</w:t>
      </w:r>
    </w:p>
    <w:p>
      <w:pPr>
        <w:pStyle w:val="63"/>
      </w:pPr>
      <w:r>
        <w:rPr>
          <w:rFonts w:hint="eastAsia"/>
        </w:rPr>
        <w:t>裁判计分及选手签字确认</w:t>
      </w:r>
    </w:p>
    <w:p>
      <w:pPr>
        <w:pStyle w:val="30"/>
        <w:contextualSpacing/>
        <w:rPr>
          <w:rFonts w:cs="微软雅黑"/>
          <w:b/>
          <w:sz w:val="24"/>
          <w:szCs w:val="21"/>
        </w:rPr>
      </w:pPr>
      <w:r>
        <w:rPr>
          <w:rFonts w:hint="eastAsia"/>
          <w:bCs/>
          <w:color w:val="auto"/>
        </w:rPr>
        <w:t>比赛结束后，裁判会进行得分统计。如对比赛无异议，双方联盟队长必须签字确认比赛结果。若对比赛结果产生异议，可以由联盟队长在未签字确认的情况下向裁判提出。签字确认后，参赛队员应主动协助裁判复原场地道具，并携带机器人和蓝牙手柄有序离场。</w:t>
      </w:r>
    </w:p>
    <w:p>
      <w:pPr>
        <w:pStyle w:val="36"/>
        <w:spacing w:line="240" w:lineRule="auto"/>
      </w:pPr>
      <w:bookmarkStart w:id="7" w:name="_Toc7787"/>
      <w:bookmarkStart w:id="8" w:name="_Toc34640259"/>
      <w:r>
        <w:rPr>
          <w:rFonts w:hint="eastAsia"/>
        </w:rPr>
        <w:t>技术规范</w:t>
      </w:r>
      <w:bookmarkEnd w:id="7"/>
      <w:bookmarkEnd w:id="8"/>
    </w:p>
    <w:p>
      <w:pPr>
        <w:pStyle w:val="33"/>
        <w:spacing w:line="420" w:lineRule="exact"/>
      </w:pPr>
      <w:bookmarkStart w:id="9" w:name="_Toc10262"/>
      <w:bookmarkStart w:id="10" w:name="_Toc34640260"/>
      <w:r>
        <w:rPr>
          <w:rFonts w:hint="eastAsia"/>
        </w:rPr>
        <w:t>机器人制作规范</w:t>
      </w:r>
      <w:bookmarkEnd w:id="9"/>
      <w:bookmarkEnd w:id="10"/>
    </w:p>
    <w:p>
      <w:pPr>
        <w:pStyle w:val="30"/>
        <w:ind w:firstLine="420"/>
      </w:pPr>
      <w:r>
        <w:rPr>
          <w:rFonts w:hint="eastAsia"/>
        </w:rPr>
        <w:t>机器人制作规范为指导各参赛队伍更好的参赛，提供了一个公平公正且安全的竞赛规范。鼓励各参赛队伍在充分阅读、理解该规范的前提下进行机器人的编程搭建。所有参赛战队的机器人必须严格遵守该制作规范，凡违背该规范要求的机器人将被要求整改，情节严重者将被判罚取消比赛成绩或取消比赛资格。</w:t>
      </w:r>
    </w:p>
    <w:p>
      <w:pPr>
        <w:pStyle w:val="63"/>
        <w:spacing w:after="156" w:afterLines="50"/>
      </w:pPr>
      <w:r>
        <w:rPr>
          <w:rFonts w:hint="eastAsia"/>
        </w:rPr>
        <w:t>机器人机械规范</w:t>
      </w:r>
    </w:p>
    <w:p>
      <w:pPr>
        <w:pStyle w:val="48"/>
        <w:spacing w:before="156" w:beforeLines="50"/>
        <w:ind w:firstLine="480"/>
      </w:pPr>
      <w:r>
        <w:t>每支参赛战队在同一场比赛中仅可以使用</w:t>
      </w:r>
      <w:r>
        <w:rPr>
          <w:rFonts w:hint="eastAsia"/>
          <w:lang w:val="en-US" w:eastAsia="zh-CN"/>
        </w:rPr>
        <w:t>1</w:t>
      </w:r>
      <w:r>
        <w:t>台机器人。不允许一台机器人在场地中比赛，而另一台机器人在场下组装或改装的情况发生。</w:t>
      </w:r>
    </w:p>
    <w:p>
      <w:pPr>
        <w:pStyle w:val="48"/>
        <w:ind w:firstLine="480"/>
      </w:pPr>
      <w:r>
        <w:t>除主控、底盘及与地面接触的车轮、履带等使机器人在平坦场地运动的</w:t>
      </w:r>
      <w:r>
        <w:rPr>
          <w:rFonts w:hint="eastAsia"/>
        </w:rPr>
        <w:t>结</w:t>
      </w:r>
      <w:r>
        <w:t>构不可更换外，</w:t>
      </w:r>
      <w:r>
        <w:rPr>
          <w:rFonts w:hint="eastAsia"/>
        </w:rPr>
        <w:t>选手因</w:t>
      </w:r>
      <w:r>
        <w:t>零部件故障或赛项任务的</w:t>
      </w:r>
      <w:r>
        <w:rPr>
          <w:rFonts w:hint="eastAsia"/>
        </w:rPr>
        <w:t>需要可</w:t>
      </w:r>
      <w:r>
        <w:t>更换其它零部件。</w:t>
      </w:r>
    </w:p>
    <w:p>
      <w:pPr>
        <w:pStyle w:val="48"/>
        <w:ind w:firstLine="480"/>
        <w:rPr>
          <w:rFonts w:cs="微软雅黑"/>
          <w:sz w:val="24"/>
          <w:szCs w:val="21"/>
        </w:rPr>
      </w:pPr>
      <w:r>
        <w:rPr>
          <w:rStyle w:val="64"/>
        </w:rPr>
        <w:t>在整个比赛过程中，机器人最大延展尺寸不可超过</w:t>
      </w:r>
      <w:r>
        <w:t xml:space="preserve"> 320mm*320mm*360mm（长*宽*高）。最大延展尺寸指机器人</w:t>
      </w:r>
      <w:r>
        <w:rPr>
          <w:rFonts w:hint="eastAsia"/>
        </w:rPr>
        <w:t>可</w:t>
      </w:r>
      <w:r>
        <w:t>运动伸展至极限状态的尺寸。</w:t>
      </w:r>
    </w:p>
    <w:p>
      <w:pPr>
        <w:pStyle w:val="48"/>
        <w:numPr>
          <w:ilvl w:val="0"/>
          <w:numId w:val="0"/>
        </w:numPr>
        <w:ind w:leftChars="200"/>
        <w:rPr>
          <w:rFonts w:cs="微软雅黑"/>
          <w:sz w:val="24"/>
          <w:szCs w:val="21"/>
        </w:rPr>
      </w:pPr>
      <w:r>
        <w:rPr>
          <w:rFonts w:hint="eastAsia"/>
        </w:rPr>
        <w:drawing>
          <wp:anchor distT="0" distB="0" distL="114300" distR="114300" simplePos="0" relativeHeight="251687936" behindDoc="0" locked="0" layoutInCell="1" allowOverlap="1">
            <wp:simplePos x="0" y="0"/>
            <wp:positionH relativeFrom="column">
              <wp:posOffset>321945</wp:posOffset>
            </wp:positionH>
            <wp:positionV relativeFrom="paragraph">
              <wp:posOffset>34290</wp:posOffset>
            </wp:positionV>
            <wp:extent cx="5339080" cy="2591435"/>
            <wp:effectExtent l="0" t="0" r="13970" b="0"/>
            <wp:wrapTopAndBottom/>
            <wp:docPr id="4" name="图片 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示&#10;&#10;描述已自动生成"/>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339080" cy="2591435"/>
                    </a:xfrm>
                    <a:prstGeom prst="rect">
                      <a:avLst/>
                    </a:prstGeom>
                  </pic:spPr>
                </pic:pic>
              </a:graphicData>
            </a:graphic>
          </wp:anchor>
        </w:drawing>
      </w:r>
    </w:p>
    <w:p>
      <w:pPr>
        <w:pStyle w:val="48"/>
        <w:numPr>
          <w:ilvl w:val="0"/>
          <w:numId w:val="0"/>
        </w:numPr>
        <w:ind w:leftChars="200"/>
        <w:jc w:val="center"/>
        <w:rPr>
          <w:rFonts w:cs="微软雅黑"/>
          <w:sz w:val="24"/>
          <w:szCs w:val="21"/>
        </w:rPr>
      </w:pPr>
      <w:r>
        <w:rPr>
          <w:rFonts w:cs="微软雅黑"/>
          <w:sz w:val="24"/>
          <w:szCs w:val="21"/>
        </w:rPr>
        <w:t>图</w:t>
      </w:r>
      <w:r>
        <w:rPr>
          <w:rFonts w:hint="eastAsia" w:cs="微软雅黑"/>
          <w:sz w:val="24"/>
          <w:szCs w:val="21"/>
          <w:lang w:val="en-US" w:eastAsia="zh-CN"/>
        </w:rPr>
        <w:t>2</w:t>
      </w:r>
      <w:r>
        <w:rPr>
          <w:rFonts w:cs="微软雅黑"/>
          <w:sz w:val="24"/>
          <w:szCs w:val="21"/>
        </w:rPr>
        <w:t>.1-1 最大延伸尺寸-侧视图</w:t>
      </w:r>
    </w:p>
    <w:p>
      <w:pPr>
        <w:pStyle w:val="48"/>
        <w:numPr>
          <w:ilvl w:val="0"/>
          <w:numId w:val="0"/>
        </w:numPr>
        <w:ind w:leftChars="200"/>
        <w:jc w:val="center"/>
        <w:rPr>
          <w:rFonts w:cs="微软雅黑"/>
          <w:sz w:val="24"/>
          <w:szCs w:val="21"/>
        </w:rPr>
      </w:pPr>
      <w:r>
        <w:drawing>
          <wp:anchor distT="180340" distB="180340" distL="114300" distR="114300" simplePos="0" relativeHeight="251682816" behindDoc="0" locked="0" layoutInCell="1" allowOverlap="1">
            <wp:simplePos x="0" y="0"/>
            <wp:positionH relativeFrom="column">
              <wp:posOffset>740410</wp:posOffset>
            </wp:positionH>
            <wp:positionV relativeFrom="paragraph">
              <wp:posOffset>182880</wp:posOffset>
            </wp:positionV>
            <wp:extent cx="4770120" cy="3462655"/>
            <wp:effectExtent l="0" t="0" r="11430" b="0"/>
            <wp:wrapTopAndBottom/>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770120" cy="3462655"/>
                    </a:xfrm>
                    <a:prstGeom prst="rect">
                      <a:avLst/>
                    </a:prstGeom>
                    <a:noFill/>
                  </pic:spPr>
                </pic:pic>
              </a:graphicData>
            </a:graphic>
          </wp:anchor>
        </w:drawing>
      </w:r>
      <w:r>
        <w:rPr>
          <w:rFonts w:cs="微软雅黑"/>
          <w:sz w:val="24"/>
          <w:szCs w:val="21"/>
        </w:rPr>
        <w:t>图</w:t>
      </w:r>
      <w:r>
        <w:rPr>
          <w:rFonts w:hint="eastAsia" w:cs="微软雅黑"/>
          <w:sz w:val="24"/>
          <w:szCs w:val="21"/>
          <w:lang w:val="en-US" w:eastAsia="zh-CN"/>
        </w:rPr>
        <w:t>2</w:t>
      </w:r>
      <w:r>
        <w:rPr>
          <w:rFonts w:cs="微软雅黑"/>
          <w:sz w:val="24"/>
          <w:szCs w:val="21"/>
        </w:rPr>
        <w:t>.1-2 最大延伸尺寸-俯视图</w:t>
      </w:r>
    </w:p>
    <w:p>
      <w:pPr>
        <w:pStyle w:val="48"/>
        <w:ind w:firstLine="480"/>
      </w:pPr>
      <w:r>
        <w:t>在整个比赛过程中，机器人任意时刻最大净重量不超过4kg，包含电池重量，不包含环保旗帜重量。</w:t>
      </w:r>
    </w:p>
    <w:p>
      <w:pPr>
        <w:pStyle w:val="48"/>
        <w:ind w:firstLine="480"/>
      </w:pPr>
      <w:r>
        <w:rPr>
          <w:rFonts w:hint="eastAsia"/>
          <w:lang w:val="en-US"/>
        </w:rPr>
        <w:t>为确保比赛的公平性，防止战队使用部分尺寸更大的轮子，破坏比赛的公平性，战队使用的车轮（包括橡胶胎皮）直径不得超过70mm。</w:t>
      </w:r>
    </w:p>
    <w:p>
      <w:pPr>
        <w:pStyle w:val="48"/>
        <w:numPr>
          <w:ilvl w:val="0"/>
          <w:numId w:val="0"/>
        </w:numPr>
        <w:spacing w:line="240" w:lineRule="auto"/>
        <w:ind w:left="400" w:leftChars="200"/>
        <w:jc w:val="center"/>
      </w:pPr>
      <w:r>
        <w:drawing>
          <wp:inline distT="0" distB="0" distL="114300" distR="114300">
            <wp:extent cx="2738120" cy="2463800"/>
            <wp:effectExtent l="0" t="0" r="0" b="0"/>
            <wp:docPr id="14" name="图片 14" descr="资源 1@4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资源 1@4x"/>
                    <pic:cNvPicPr>
                      <a:picLocks noChangeAspect="1"/>
                    </pic:cNvPicPr>
                  </pic:nvPicPr>
                  <pic:blipFill>
                    <a:blip r:embed="rId32"/>
                    <a:stretch>
                      <a:fillRect/>
                    </a:stretch>
                  </pic:blipFill>
                  <pic:spPr>
                    <a:xfrm>
                      <a:off x="0" y="0"/>
                      <a:ext cx="2738120" cy="2463800"/>
                    </a:xfrm>
                    <a:prstGeom prst="rect">
                      <a:avLst/>
                    </a:prstGeom>
                  </pic:spPr>
                </pic:pic>
              </a:graphicData>
            </a:graphic>
          </wp:inline>
        </w:drawing>
      </w:r>
    </w:p>
    <w:p>
      <w:pPr>
        <w:pStyle w:val="48"/>
        <w:spacing w:after="156" w:afterLines="50"/>
        <w:ind w:firstLine="480"/>
      </w:pPr>
      <w:r>
        <w:t>为确保比赛的公平性，防止战队使用部分高性能设备破坏比赛公平性，战队使用的器材性能不得超过以下指标：</w:t>
      </w:r>
    </w:p>
    <w:tbl>
      <w:tblPr>
        <w:tblStyle w:val="17"/>
        <w:tblW w:w="8691" w:type="dxa"/>
        <w:tblInd w:w="1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 w:type="dxa"/>
          <w:bottom w:w="0" w:type="dxa"/>
          <w:right w:w="10" w:type="dxa"/>
        </w:tblCellMar>
      </w:tblPr>
      <w:tblGrid>
        <w:gridCol w:w="1026"/>
        <w:gridCol w:w="1027"/>
        <w:gridCol w:w="4086"/>
        <w:gridCol w:w="2552"/>
      </w:tblGrid>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026" w:type="dxa"/>
            <w:vAlign w:val="center"/>
          </w:tcPr>
          <w:p>
            <w:pPr>
              <w:jc w:val="center"/>
              <w:rPr>
                <w:rFonts w:ascii="思源黑体 CN Normal" w:hAnsi="思源黑体 CN Normal" w:eastAsia="思源黑体 CN Normal" w:cs="Times New Roman"/>
                <w:b/>
                <w:bCs/>
                <w:szCs w:val="20"/>
              </w:rPr>
            </w:pPr>
            <w:r>
              <w:rPr>
                <w:rFonts w:ascii="思源黑体 CN Normal" w:hAnsi="思源黑体 CN Normal" w:eastAsia="思源黑体 CN Normal" w:cs="Times New Roman"/>
                <w:b/>
                <w:bCs/>
                <w:szCs w:val="20"/>
              </w:rPr>
              <w:t>设备类型</w:t>
            </w:r>
          </w:p>
        </w:tc>
        <w:tc>
          <w:tcPr>
            <w:tcW w:w="1027" w:type="dxa"/>
            <w:vAlign w:val="center"/>
          </w:tcPr>
          <w:p>
            <w:pPr>
              <w:jc w:val="center"/>
              <w:rPr>
                <w:rFonts w:ascii="思源黑体 CN Normal" w:hAnsi="思源黑体 CN Normal" w:eastAsia="思源黑体 CN Normal" w:cs="Times New Roman"/>
                <w:b/>
                <w:bCs/>
                <w:szCs w:val="20"/>
              </w:rPr>
            </w:pPr>
            <w:r>
              <w:rPr>
                <w:rFonts w:ascii="思源黑体 CN Normal" w:hAnsi="思源黑体 CN Normal" w:eastAsia="思源黑体 CN Normal" w:cs="Times New Roman"/>
                <w:b/>
                <w:bCs/>
                <w:szCs w:val="20"/>
              </w:rPr>
              <w:t>部件名称</w:t>
            </w:r>
          </w:p>
        </w:tc>
        <w:tc>
          <w:tcPr>
            <w:tcW w:w="4086" w:type="dxa"/>
            <w:vAlign w:val="center"/>
          </w:tcPr>
          <w:p>
            <w:pPr>
              <w:jc w:val="center"/>
              <w:rPr>
                <w:rFonts w:ascii="思源黑体 CN Normal" w:hAnsi="思源黑体 CN Normal" w:eastAsia="思源黑体 CN Normal" w:cs="Times New Roman"/>
                <w:b/>
                <w:bCs/>
                <w:szCs w:val="20"/>
              </w:rPr>
            </w:pPr>
            <w:r>
              <w:rPr>
                <w:rFonts w:ascii="思源黑体 CN Normal" w:hAnsi="思源黑体 CN Normal" w:eastAsia="思源黑体 CN Normal" w:cs="Times New Roman"/>
                <w:b/>
                <w:bCs/>
                <w:szCs w:val="20"/>
              </w:rPr>
              <w:t>规格</w:t>
            </w:r>
          </w:p>
        </w:tc>
        <w:tc>
          <w:tcPr>
            <w:tcW w:w="2552" w:type="dxa"/>
            <w:vAlign w:val="center"/>
          </w:tcPr>
          <w:p>
            <w:pPr>
              <w:jc w:val="center"/>
              <w:rPr>
                <w:rFonts w:ascii="思源黑体 CN Normal" w:hAnsi="思源黑体 CN Normal" w:eastAsia="思源黑体 CN Normal" w:cs="Times New Roman"/>
                <w:b/>
                <w:bCs/>
                <w:szCs w:val="20"/>
              </w:rPr>
            </w:pPr>
            <w:r>
              <w:rPr>
                <w:rFonts w:ascii="思源黑体 CN Normal" w:hAnsi="思源黑体 CN Normal" w:eastAsia="思源黑体 CN Normal" w:cs="Times New Roman"/>
                <w:b/>
                <w:bCs/>
                <w:szCs w:val="20"/>
              </w:rPr>
              <w:t>备注</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026" w:type="dxa"/>
            <w:vMerge w:val="restart"/>
            <w:vAlign w:val="center"/>
          </w:tcPr>
          <w:p>
            <w:pPr>
              <w:jc w:val="center"/>
              <w:rPr>
                <w:rFonts w:ascii="思源黑体 CN Normal" w:hAnsi="思源黑体 CN Normal" w:eastAsia="思源黑体 CN Normal"/>
                <w:szCs w:val="20"/>
              </w:rPr>
            </w:pPr>
            <w:r>
              <w:rPr>
                <w:rFonts w:ascii="思源黑体 CN Normal" w:hAnsi="思源黑体 CN Normal" w:eastAsia="思源黑体 CN Normal" w:cs="Times New Roman"/>
                <w:b/>
                <w:szCs w:val="20"/>
              </w:rPr>
              <w:t>电机&amp;舵机</w:t>
            </w:r>
          </w:p>
          <w:p>
            <w:pPr>
              <w:jc w:val="center"/>
              <w:rPr>
                <w:rFonts w:ascii="思源黑体 CN Normal" w:hAnsi="思源黑体 CN Normal" w:eastAsia="思源黑体 CN Normal"/>
                <w:szCs w:val="20"/>
              </w:rPr>
            </w:pPr>
          </w:p>
        </w:tc>
        <w:tc>
          <w:tcPr>
            <w:tcW w:w="1027" w:type="dxa"/>
            <w:shd w:val="clear" w:color="auto" w:fill="auto"/>
            <w:vAlign w:val="center"/>
          </w:tcPr>
          <w:p>
            <w:pPr>
              <w:jc w:val="center"/>
              <w:rPr>
                <w:rFonts w:ascii="思源黑体 CN Normal" w:hAnsi="思源黑体 CN Normal" w:eastAsia="思源黑体 CN Normal"/>
                <w:szCs w:val="20"/>
              </w:rPr>
            </w:pPr>
            <w:r>
              <w:rPr>
                <w:rFonts w:hint="eastAsia" w:ascii="思源黑体 CN Normal" w:hAnsi="思源黑体 CN Normal" w:eastAsia="思源黑体 CN Normal" w:cs="Times New Roman"/>
                <w:szCs w:val="20"/>
              </w:rPr>
              <w:t>直流电机</w:t>
            </w:r>
          </w:p>
        </w:tc>
        <w:tc>
          <w:tcPr>
            <w:tcW w:w="4086" w:type="dxa"/>
            <w:shd w:val="clear" w:color="auto" w:fill="auto"/>
          </w:tcPr>
          <w:p>
            <w:pPr>
              <w:pStyle w:val="29"/>
              <w:widowControl/>
              <w:numPr>
                <w:ilvl w:val="0"/>
                <w:numId w:val="12"/>
              </w:numPr>
              <w:ind w:firstLineChars="0"/>
              <w:textAlignment w:val="center"/>
              <w:rPr>
                <w:color w:val="000000"/>
                <w:kern w:val="0"/>
              </w:rPr>
            </w:pPr>
            <w:r>
              <w:rPr>
                <w:color w:val="000000"/>
                <w:kern w:val="0"/>
              </w:rPr>
              <w:t>高速 TT马达</w:t>
            </w:r>
          </w:p>
          <w:p>
            <w:pPr>
              <w:pStyle w:val="29"/>
              <w:widowControl/>
              <w:numPr>
                <w:ilvl w:val="0"/>
                <w:numId w:val="13"/>
              </w:numPr>
              <w:ind w:left="840" w:leftChars="0" w:firstLineChars="0"/>
              <w:textAlignment w:val="center"/>
              <w:rPr>
                <w:color w:val="000000"/>
                <w:kern w:val="0"/>
              </w:rPr>
            </w:pPr>
            <w:r>
              <w:rPr>
                <w:color w:val="000000"/>
                <w:kern w:val="0"/>
              </w:rPr>
              <w:t>额定电压:DC 6V</w:t>
            </w:r>
          </w:p>
          <w:p>
            <w:pPr>
              <w:pStyle w:val="29"/>
              <w:widowControl/>
              <w:numPr>
                <w:ilvl w:val="0"/>
                <w:numId w:val="13"/>
              </w:numPr>
              <w:ind w:left="840" w:leftChars="0" w:firstLineChars="0"/>
              <w:textAlignment w:val="center"/>
              <w:rPr>
                <w:color w:val="000000"/>
                <w:kern w:val="0"/>
              </w:rPr>
            </w:pPr>
            <w:r>
              <w:rPr>
                <w:color w:val="000000"/>
                <w:kern w:val="0"/>
              </w:rPr>
              <w:t>无负载速度:312RPM±10%</w:t>
            </w:r>
          </w:p>
          <w:p>
            <w:pPr>
              <w:pStyle w:val="29"/>
              <w:widowControl/>
              <w:numPr>
                <w:ilvl w:val="0"/>
                <w:numId w:val="13"/>
              </w:numPr>
              <w:ind w:left="840" w:leftChars="0" w:firstLineChars="0"/>
              <w:textAlignment w:val="center"/>
              <w:rPr>
                <w:color w:val="000000"/>
                <w:kern w:val="0"/>
              </w:rPr>
            </w:pPr>
            <w:r>
              <w:rPr>
                <w:rFonts w:hint="eastAsia"/>
                <w:color w:val="000000"/>
                <w:kern w:val="0"/>
              </w:rPr>
              <w:t>齿轮比</w:t>
            </w:r>
            <w:r>
              <w:rPr>
                <w:color w:val="000000"/>
                <w:kern w:val="0"/>
              </w:rPr>
              <w:t>:1:48</w:t>
            </w:r>
          </w:p>
          <w:p>
            <w:pPr>
              <w:pStyle w:val="29"/>
              <w:widowControl/>
              <w:numPr>
                <w:ilvl w:val="0"/>
                <w:numId w:val="12"/>
              </w:numPr>
              <w:ind w:firstLineChars="0"/>
              <w:textAlignment w:val="center"/>
              <w:rPr>
                <w:color w:val="000000"/>
                <w:kern w:val="0"/>
                <w:szCs w:val="24"/>
              </w:rPr>
            </w:pPr>
            <w:r>
              <w:rPr>
                <w:rFonts w:hint="eastAsia"/>
                <w:color w:val="000000"/>
                <w:kern w:val="0"/>
              </w:rPr>
              <w:t>37直流电机</w:t>
            </w:r>
          </w:p>
          <w:p>
            <w:pPr>
              <w:pStyle w:val="29"/>
              <w:widowControl/>
              <w:numPr>
                <w:ilvl w:val="0"/>
                <w:numId w:val="14"/>
              </w:numPr>
              <w:ind w:left="840" w:leftChars="0" w:firstLineChars="0"/>
              <w:textAlignment w:val="center"/>
              <w:rPr>
                <w:color w:val="000000"/>
              </w:rPr>
            </w:pPr>
            <w:r>
              <w:rPr>
                <w:rFonts w:hint="eastAsia"/>
                <w:color w:val="000000"/>
                <w:kern w:val="0"/>
              </w:rPr>
              <w:t>额定电压：12V</w:t>
            </w:r>
          </w:p>
          <w:p>
            <w:pPr>
              <w:pStyle w:val="29"/>
              <w:numPr>
                <w:ilvl w:val="0"/>
                <w:numId w:val="14"/>
              </w:numPr>
              <w:ind w:left="840" w:leftChars="0" w:firstLineChars="0"/>
            </w:pPr>
            <w:r>
              <w:rPr>
                <w:rFonts w:hint="eastAsia"/>
                <w:color w:val="000000"/>
                <w:kern w:val="0"/>
              </w:rPr>
              <w:t>额定转速：50&amp;200RPM</w:t>
            </w:r>
          </w:p>
          <w:p>
            <w:pPr>
              <w:pStyle w:val="29"/>
              <w:numPr>
                <w:ilvl w:val="0"/>
                <w:numId w:val="14"/>
              </w:numPr>
              <w:ind w:left="840" w:leftChars="0" w:firstLineChars="0"/>
            </w:pPr>
            <w:r>
              <w:rPr>
                <w:rFonts w:hint="eastAsia"/>
                <w:color w:val="000000"/>
              </w:rPr>
              <w:t>额定力矩：</w:t>
            </w:r>
            <w:r>
              <w:rPr>
                <w:color w:val="000000"/>
              </w:rPr>
              <w:t>4.5Kg.cm&amp;</w:t>
            </w:r>
            <w:r>
              <w:t xml:space="preserve"> </w:t>
            </w:r>
            <w:r>
              <w:rPr>
                <w:color w:val="000000"/>
              </w:rPr>
              <w:t>1.5Kg.cm</w:t>
            </w:r>
          </w:p>
        </w:tc>
        <w:tc>
          <w:tcPr>
            <w:tcW w:w="2552" w:type="dxa"/>
            <w:vMerge w:val="restart"/>
            <w:vAlign w:val="center"/>
          </w:tcPr>
          <w:p>
            <w:pPr>
              <w:numPr>
                <w:ilvl w:val="0"/>
                <w:numId w:val="15"/>
              </w:numPr>
              <w:spacing w:line="240" w:lineRule="auto"/>
              <w:rPr>
                <w:rFonts w:ascii="思源黑体 CN Normal" w:hAnsi="思源黑体 CN Normal" w:eastAsia="思源黑体 CN Normal" w:cs="Times New Roman"/>
                <w:szCs w:val="20"/>
              </w:rPr>
            </w:pPr>
            <w:r>
              <w:rPr>
                <w:rFonts w:ascii="思源黑体 CN Normal" w:hAnsi="思源黑体 CN Normal" w:eastAsia="思源黑体 CN Normal" w:cs="Times New Roman"/>
                <w:szCs w:val="20"/>
              </w:rPr>
              <w:t>机器人上安装的电机（直流电机、编码电机）总数量不超过4个</w:t>
            </w:r>
          </w:p>
          <w:p>
            <w:pPr>
              <w:numPr>
                <w:ilvl w:val="0"/>
                <w:numId w:val="15"/>
              </w:numPr>
              <w:spacing w:line="240" w:lineRule="auto"/>
              <w:rPr>
                <w:rFonts w:ascii="思源黑体 CN Normal" w:hAnsi="思源黑体 CN Normal" w:eastAsia="思源黑体 CN Normal" w:cs="Times New Roman"/>
                <w:szCs w:val="20"/>
              </w:rPr>
            </w:pPr>
            <w:r>
              <w:rPr>
                <w:rFonts w:ascii="思源黑体 CN Normal" w:hAnsi="思源黑体 CN Normal" w:eastAsia="思源黑体 CN Normal" w:cs="Times New Roman"/>
                <w:szCs w:val="20"/>
              </w:rPr>
              <w:t>舵机总数量不超过4个</w:t>
            </w:r>
          </w:p>
          <w:p>
            <w:pPr>
              <w:numPr>
                <w:ilvl w:val="0"/>
                <w:numId w:val="15"/>
              </w:numPr>
              <w:spacing w:line="240" w:lineRule="auto"/>
              <w:rPr>
                <w:rFonts w:ascii="思源黑体 CN Normal" w:hAnsi="思源黑体 CN Normal" w:eastAsia="思源黑体 CN Normal"/>
                <w:szCs w:val="20"/>
              </w:rPr>
            </w:pPr>
            <w:r>
              <w:rPr>
                <w:rFonts w:ascii="思源黑体 CN Normal" w:hAnsi="思源黑体 CN Normal" w:eastAsia="思源黑体 CN Normal" w:cs="Times New Roman"/>
                <w:szCs w:val="20"/>
              </w:rPr>
              <w:t>禁止更改任何电机或舵机内部的机械结构和电气布局</w:t>
            </w:r>
          </w:p>
          <w:p>
            <w:pPr>
              <w:numPr>
                <w:ilvl w:val="0"/>
                <w:numId w:val="15"/>
              </w:numPr>
              <w:spacing w:line="240" w:lineRule="auto"/>
              <w:rPr>
                <w:rFonts w:ascii="思源黑体 CN Normal" w:hAnsi="思源黑体 CN Normal" w:eastAsia="思源黑体 CN Normal"/>
                <w:szCs w:val="20"/>
              </w:rPr>
            </w:pPr>
            <w:r>
              <w:rPr>
                <w:rFonts w:hint="eastAsia" w:ascii="思源黑体 CN Normal" w:hAnsi="思源黑体 CN Normal" w:eastAsia="思源黑体 CN Normal" w:cs="Times New Roman"/>
                <w:szCs w:val="20"/>
              </w:rPr>
              <w:t>注：3</w:t>
            </w:r>
            <w:r>
              <w:rPr>
                <w:rFonts w:ascii="思源黑体 CN Normal" w:hAnsi="思源黑体 CN Normal" w:eastAsia="思源黑体 CN Normal" w:cs="Times New Roman"/>
                <w:szCs w:val="20"/>
              </w:rPr>
              <w:t>7</w:t>
            </w:r>
            <w:r>
              <w:rPr>
                <w:rFonts w:hint="eastAsia" w:ascii="思源黑体 CN Normal" w:hAnsi="思源黑体 CN Normal" w:eastAsia="思源黑体 CN Normal" w:cs="Times New Roman"/>
                <w:szCs w:val="20"/>
              </w:rPr>
              <w:t>电机需自行准备</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026" w:type="dxa"/>
            <w:vMerge w:val="continue"/>
          </w:tcPr>
          <w:p>
            <w:pPr>
              <w:rPr>
                <w:rFonts w:ascii="思源黑体 CN Normal" w:hAnsi="思源黑体 CN Normal" w:eastAsia="思源黑体 CN Normal"/>
                <w:szCs w:val="20"/>
              </w:rPr>
            </w:pPr>
          </w:p>
        </w:tc>
        <w:tc>
          <w:tcPr>
            <w:tcW w:w="1027" w:type="dxa"/>
            <w:vAlign w:val="center"/>
          </w:tcPr>
          <w:p>
            <w:pPr>
              <w:jc w:val="center"/>
              <w:rPr>
                <w:rFonts w:ascii="思源黑体 CN Normal" w:hAnsi="思源黑体 CN Normal" w:eastAsia="思源黑体 CN Normal"/>
                <w:szCs w:val="20"/>
              </w:rPr>
            </w:pPr>
            <w:r>
              <w:rPr>
                <w:rFonts w:ascii="思源黑体 CN Normal" w:hAnsi="思源黑体 CN Normal" w:eastAsia="思源黑体 CN Normal" w:cs="Times New Roman"/>
                <w:szCs w:val="20"/>
              </w:rPr>
              <w:t>编码电机</w:t>
            </w:r>
          </w:p>
        </w:tc>
        <w:tc>
          <w:tcPr>
            <w:tcW w:w="4086" w:type="dxa"/>
          </w:tcPr>
          <w:p>
            <w:pPr>
              <w:numPr>
                <w:ilvl w:val="0"/>
                <w:numId w:val="16"/>
              </w:numPr>
              <w:spacing w:line="240" w:lineRule="auto"/>
              <w:jc w:val="left"/>
              <w:rPr>
                <w:rFonts w:ascii="思源黑体 CN Normal" w:hAnsi="思源黑体 CN Normal" w:eastAsia="思源黑体 CN Normal"/>
                <w:szCs w:val="20"/>
              </w:rPr>
            </w:pPr>
            <w:r>
              <w:rPr>
                <w:rFonts w:ascii="思源黑体 CN Normal" w:hAnsi="思源黑体 CN Normal" w:eastAsia="思源黑体 CN Normal" w:cs="Times New Roman"/>
                <w:szCs w:val="20"/>
              </w:rPr>
              <w:t>180光电编码电机</w:t>
            </w:r>
          </w:p>
          <w:p>
            <w:pPr>
              <w:numPr>
                <w:ilvl w:val="0"/>
                <w:numId w:val="17"/>
              </w:numPr>
              <w:spacing w:line="240" w:lineRule="auto"/>
              <w:ind w:left="453"/>
              <w:jc w:val="left"/>
              <w:rPr>
                <w:rFonts w:ascii="思源黑体 CN Normal" w:hAnsi="思源黑体 CN Normal" w:eastAsia="思源黑体 CN Normal"/>
                <w:szCs w:val="20"/>
              </w:rPr>
            </w:pPr>
            <w:r>
              <w:rPr>
                <w:rFonts w:ascii="思源黑体 CN Normal" w:hAnsi="思源黑体 CN Normal" w:eastAsia="思源黑体 CN Normal" w:cs="Times New Roman"/>
                <w:szCs w:val="20"/>
              </w:rPr>
              <w:t>驱动电压：DC 7.4V</w:t>
            </w:r>
          </w:p>
          <w:p>
            <w:pPr>
              <w:numPr>
                <w:ilvl w:val="0"/>
                <w:numId w:val="18"/>
              </w:numPr>
              <w:spacing w:line="240" w:lineRule="auto"/>
              <w:ind w:left="453"/>
              <w:jc w:val="left"/>
              <w:rPr>
                <w:rFonts w:ascii="思源黑体 CN Normal" w:hAnsi="思源黑体 CN Normal" w:eastAsia="思源黑体 CN Normal"/>
                <w:szCs w:val="20"/>
              </w:rPr>
            </w:pPr>
            <w:r>
              <w:rPr>
                <w:rFonts w:ascii="思源黑体 CN Normal" w:hAnsi="思源黑体 CN Normal" w:eastAsia="思源黑体 CN Normal" w:cs="Times New Roman"/>
                <w:szCs w:val="20"/>
              </w:rPr>
              <w:t>转速区间：7</w:t>
            </w:r>
            <w:bookmarkStart w:id="11" w:name="_Hlk91600230"/>
            <w:r>
              <w:rPr>
                <w:rFonts w:ascii="思源黑体 CN Normal" w:hAnsi="思源黑体 CN Normal" w:eastAsia="思源黑体 CN Normal" w:cs="Times New Roman"/>
                <w:szCs w:val="20"/>
              </w:rPr>
              <w:t>.</w:t>
            </w:r>
            <w:bookmarkEnd w:id="11"/>
            <w:r>
              <w:rPr>
                <w:rFonts w:ascii="思源黑体 CN Normal" w:hAnsi="思源黑体 CN Normal" w:eastAsia="思源黑体 CN Normal" w:cs="Times New Roman"/>
                <w:szCs w:val="20"/>
              </w:rPr>
              <w:t>4V0~350RPM±5%</w:t>
            </w:r>
          </w:p>
          <w:p>
            <w:pPr>
              <w:numPr>
                <w:ilvl w:val="0"/>
                <w:numId w:val="18"/>
              </w:numPr>
              <w:spacing w:line="240" w:lineRule="auto"/>
              <w:ind w:left="453"/>
              <w:jc w:val="left"/>
              <w:rPr>
                <w:rFonts w:ascii="思源黑体 CN Normal" w:hAnsi="思源黑体 CN Normal" w:eastAsia="思源黑体 CN Normal"/>
                <w:szCs w:val="20"/>
              </w:rPr>
            </w:pPr>
            <w:r>
              <w:rPr>
                <w:rFonts w:hint="eastAsia" w:ascii="思源黑体 CN Normal" w:hAnsi="思源黑体 CN Normal" w:eastAsia="思源黑体 CN Normal"/>
                <w:szCs w:val="20"/>
              </w:rPr>
              <w:t>额定扭矩：8</w:t>
            </w:r>
            <w:r>
              <w:rPr>
                <w:rFonts w:ascii="思源黑体 CN Normal" w:hAnsi="思源黑体 CN Normal" w:eastAsia="思源黑体 CN Normal"/>
                <w:szCs w:val="20"/>
              </w:rPr>
              <w:t>00</w:t>
            </w:r>
            <w:r>
              <w:rPr>
                <w:rFonts w:hint="eastAsia" w:ascii="思源黑体 CN Normal" w:hAnsi="思源黑体 CN Normal" w:eastAsia="思源黑体 CN Normal"/>
                <w:szCs w:val="20"/>
              </w:rPr>
              <w:t>g</w:t>
            </w:r>
            <w:r>
              <w:rPr>
                <w:rFonts w:ascii="思源黑体 CN Normal" w:hAnsi="思源黑体 CN Normal" w:eastAsia="思源黑体 CN Normal" w:cs="Times New Roman"/>
                <w:szCs w:val="20"/>
              </w:rPr>
              <w:t>.</w:t>
            </w:r>
            <w:r>
              <w:rPr>
                <w:rFonts w:hint="eastAsia" w:ascii="思源黑体 CN Normal" w:hAnsi="思源黑体 CN Normal" w:eastAsia="思源黑体 CN Normal" w:cs="Times New Roman"/>
                <w:szCs w:val="20"/>
              </w:rPr>
              <w:t>cm</w:t>
            </w:r>
          </w:p>
          <w:p>
            <w:pPr>
              <w:numPr>
                <w:ilvl w:val="0"/>
                <w:numId w:val="19"/>
              </w:numPr>
              <w:spacing w:line="240" w:lineRule="auto"/>
              <w:ind w:left="453"/>
              <w:jc w:val="left"/>
              <w:rPr>
                <w:rFonts w:ascii="思源黑体 CN Normal" w:hAnsi="思源黑体 CN Normal" w:eastAsia="思源黑体 CN Normal"/>
                <w:szCs w:val="20"/>
              </w:rPr>
            </w:pPr>
            <w:r>
              <w:rPr>
                <w:rFonts w:ascii="思源黑体 CN Normal" w:hAnsi="思源黑体 CN Normal" w:eastAsia="思源黑体 CN Normal" w:cs="Times New Roman"/>
                <w:szCs w:val="20"/>
              </w:rPr>
              <w:t>转动精度：≤5°</w:t>
            </w:r>
          </w:p>
          <w:p>
            <w:pPr>
              <w:numPr>
                <w:ilvl w:val="0"/>
                <w:numId w:val="20"/>
              </w:numPr>
              <w:spacing w:line="240" w:lineRule="auto"/>
              <w:ind w:left="453"/>
              <w:jc w:val="left"/>
              <w:rPr>
                <w:rFonts w:ascii="思源黑体 CN Normal" w:hAnsi="思源黑体 CN Normal" w:eastAsia="思源黑体 CN Normal"/>
                <w:szCs w:val="20"/>
              </w:rPr>
            </w:pPr>
            <w:r>
              <w:rPr>
                <w:rFonts w:ascii="思源黑体 CN Normal" w:hAnsi="思源黑体 CN Normal" w:eastAsia="思源黑体 CN Normal" w:cs="Times New Roman"/>
                <w:szCs w:val="20"/>
              </w:rPr>
              <w:t>减速比：39:43</w:t>
            </w:r>
          </w:p>
        </w:tc>
        <w:tc>
          <w:tcPr>
            <w:tcW w:w="2552" w:type="dxa"/>
            <w:vMerge w:val="continue"/>
          </w:tcPr>
          <w:p>
            <w:pPr>
              <w:rPr>
                <w:rFonts w:ascii="思源黑体 CN Normal" w:hAnsi="思源黑体 CN Normal" w:eastAsia="思源黑体 CN Normal"/>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026" w:type="dxa"/>
            <w:vMerge w:val="continue"/>
          </w:tcPr>
          <w:p>
            <w:pPr>
              <w:rPr>
                <w:rFonts w:ascii="思源黑体 CN Normal" w:hAnsi="思源黑体 CN Normal" w:eastAsia="思源黑体 CN Normal"/>
                <w:szCs w:val="20"/>
              </w:rPr>
            </w:pPr>
          </w:p>
        </w:tc>
        <w:tc>
          <w:tcPr>
            <w:tcW w:w="1027" w:type="dxa"/>
            <w:vAlign w:val="center"/>
          </w:tcPr>
          <w:p>
            <w:pPr>
              <w:jc w:val="center"/>
              <w:rPr>
                <w:rFonts w:ascii="思源黑体 CN Normal" w:hAnsi="思源黑体 CN Normal" w:eastAsia="思源黑体 CN Normal"/>
                <w:szCs w:val="20"/>
              </w:rPr>
            </w:pPr>
            <w:r>
              <w:rPr>
                <w:rFonts w:ascii="思源黑体 CN Normal" w:hAnsi="思源黑体 CN Normal" w:eastAsia="思源黑体 CN Normal" w:cs="Times New Roman"/>
                <w:szCs w:val="20"/>
              </w:rPr>
              <w:t>舵机</w:t>
            </w:r>
          </w:p>
        </w:tc>
        <w:tc>
          <w:tcPr>
            <w:tcW w:w="4086" w:type="dxa"/>
          </w:tcPr>
          <w:p>
            <w:pPr>
              <w:numPr>
                <w:ilvl w:val="0"/>
                <w:numId w:val="21"/>
              </w:numPr>
              <w:spacing w:line="240" w:lineRule="auto"/>
              <w:jc w:val="left"/>
              <w:rPr>
                <w:rFonts w:ascii="思源黑体 CN Normal" w:hAnsi="思源黑体 CN Normal" w:eastAsia="思源黑体 CN Normal"/>
                <w:szCs w:val="20"/>
              </w:rPr>
            </w:pPr>
            <w:r>
              <w:rPr>
                <w:rFonts w:ascii="思源黑体 CN Normal" w:hAnsi="思源黑体 CN Normal" w:eastAsia="思源黑体 CN Normal" w:cs="Times New Roman"/>
                <w:szCs w:val="20"/>
              </w:rPr>
              <w:t>MECDS-150 舵机</w:t>
            </w:r>
          </w:p>
          <w:p>
            <w:pPr>
              <w:numPr>
                <w:ilvl w:val="0"/>
                <w:numId w:val="22"/>
              </w:numPr>
              <w:spacing w:line="240" w:lineRule="auto"/>
              <w:ind w:left="453"/>
              <w:jc w:val="left"/>
              <w:rPr>
                <w:rFonts w:ascii="思源黑体 CN Normal" w:hAnsi="思源黑体 CN Normal" w:eastAsia="思源黑体 CN Normal"/>
                <w:szCs w:val="20"/>
              </w:rPr>
            </w:pPr>
            <w:r>
              <w:rPr>
                <w:rFonts w:ascii="思源黑体 CN Normal" w:hAnsi="思源黑体 CN Normal" w:eastAsia="思源黑体 CN Normal" w:cs="Times New Roman"/>
                <w:szCs w:val="20"/>
              </w:rPr>
              <w:t>工作电压：DC 6.0V</w:t>
            </w:r>
          </w:p>
          <w:p>
            <w:pPr>
              <w:numPr>
                <w:ilvl w:val="0"/>
                <w:numId w:val="23"/>
              </w:numPr>
              <w:spacing w:line="240" w:lineRule="auto"/>
              <w:ind w:left="453"/>
              <w:jc w:val="left"/>
              <w:rPr>
                <w:rFonts w:ascii="思源黑体 CN Normal" w:hAnsi="思源黑体 CN Normal" w:eastAsia="思源黑体 CN Normal"/>
                <w:szCs w:val="20"/>
              </w:rPr>
            </w:pPr>
            <w:r>
              <w:rPr>
                <w:rFonts w:ascii="思源黑体 CN Normal" w:hAnsi="思源黑体 CN Normal" w:eastAsia="思源黑体 CN Normal" w:cs="Times New Roman"/>
                <w:szCs w:val="20"/>
              </w:rPr>
              <w:t>峰值扭矩：16.5kg.cm</w:t>
            </w:r>
          </w:p>
          <w:p>
            <w:pPr>
              <w:numPr>
                <w:ilvl w:val="0"/>
                <w:numId w:val="24"/>
              </w:numPr>
              <w:spacing w:line="240" w:lineRule="auto"/>
              <w:jc w:val="left"/>
              <w:rPr>
                <w:rFonts w:ascii="思源黑体 CN Normal" w:hAnsi="思源黑体 CN Normal" w:eastAsia="思源黑体 CN Normal"/>
                <w:szCs w:val="20"/>
              </w:rPr>
            </w:pPr>
            <w:r>
              <w:rPr>
                <w:rFonts w:ascii="思源黑体 CN Normal" w:hAnsi="思源黑体 CN Normal" w:eastAsia="思源黑体 CN Normal" w:cs="Times New Roman"/>
                <w:szCs w:val="20"/>
              </w:rPr>
              <w:t xml:space="preserve">MS-1.5A 舵机 </w:t>
            </w:r>
          </w:p>
          <w:p>
            <w:pPr>
              <w:numPr>
                <w:ilvl w:val="0"/>
                <w:numId w:val="25"/>
              </w:numPr>
              <w:spacing w:line="240" w:lineRule="auto"/>
              <w:ind w:left="453"/>
              <w:jc w:val="left"/>
              <w:rPr>
                <w:rFonts w:ascii="思源黑体 CN Normal" w:hAnsi="思源黑体 CN Normal" w:eastAsia="思源黑体 CN Normal"/>
                <w:szCs w:val="20"/>
              </w:rPr>
            </w:pPr>
            <w:r>
              <w:rPr>
                <w:rFonts w:ascii="思源黑体 CN Normal" w:hAnsi="思源黑体 CN Normal" w:eastAsia="思源黑体 CN Normal" w:cs="Times New Roman"/>
                <w:szCs w:val="20"/>
              </w:rPr>
              <w:t>工作电压：4.8-6V DC</w:t>
            </w:r>
          </w:p>
          <w:p>
            <w:pPr>
              <w:numPr>
                <w:ilvl w:val="0"/>
                <w:numId w:val="26"/>
              </w:numPr>
              <w:spacing w:line="240" w:lineRule="auto"/>
              <w:ind w:left="453"/>
              <w:jc w:val="left"/>
              <w:rPr>
                <w:rFonts w:ascii="思源黑体 CN Normal" w:hAnsi="思源黑体 CN Normal" w:eastAsia="思源黑体 CN Normal"/>
                <w:szCs w:val="20"/>
              </w:rPr>
            </w:pPr>
            <w:r>
              <w:rPr>
                <w:rFonts w:ascii="思源黑体 CN Normal" w:hAnsi="思源黑体 CN Normal" w:eastAsia="思源黑体 CN Normal" w:cs="Times New Roman"/>
                <w:szCs w:val="20"/>
              </w:rPr>
              <w:t>扭矩：1.31-.7kg.cm</w:t>
            </w:r>
          </w:p>
        </w:tc>
        <w:tc>
          <w:tcPr>
            <w:tcW w:w="2552" w:type="dxa"/>
            <w:vMerge w:val="continue"/>
          </w:tcPr>
          <w:p>
            <w:pPr>
              <w:rPr>
                <w:rFonts w:ascii="思源黑体 CN Normal" w:hAnsi="思源黑体 CN Normal" w:eastAsia="思源黑体 CN Normal"/>
                <w:szCs w:val="20"/>
              </w:rPr>
            </w:pPr>
          </w:p>
        </w:tc>
      </w:tr>
    </w:tbl>
    <w:p>
      <w:pPr>
        <w:pStyle w:val="48"/>
        <w:spacing w:before="156" w:beforeLines="50" w:after="156" w:afterLines="50"/>
        <w:ind w:firstLine="480"/>
      </w:pPr>
      <w:r>
        <w:rPr>
          <w:rFonts w:hint="eastAsia"/>
        </w:rPr>
        <w:t>为防止战队使用部分高性能电子设备破坏比赛公平性，战队使用的电子设备不得超过以下性能指标</w:t>
      </w:r>
      <w:r>
        <w:t>：</w:t>
      </w:r>
    </w:p>
    <w:tbl>
      <w:tblPr>
        <w:tblStyle w:val="17"/>
        <w:tblW w:w="8705" w:type="dxa"/>
        <w:tblInd w:w="1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 w:type="dxa"/>
          <w:bottom w:w="0" w:type="dxa"/>
          <w:right w:w="10" w:type="dxa"/>
        </w:tblCellMar>
      </w:tblPr>
      <w:tblGrid>
        <w:gridCol w:w="1219"/>
        <w:gridCol w:w="1009"/>
        <w:gridCol w:w="3941"/>
        <w:gridCol w:w="2536"/>
      </w:tblGrid>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19" w:type="dxa"/>
            <w:vAlign w:val="center"/>
          </w:tcPr>
          <w:p>
            <w:pPr>
              <w:jc w:val="center"/>
              <w:rPr>
                <w:rFonts w:ascii="思源黑体 CN Normal" w:hAnsi="思源黑体 CN Normal" w:eastAsia="思源黑体 CN Normal"/>
              </w:rPr>
            </w:pPr>
            <w:r>
              <w:rPr>
                <w:rFonts w:ascii="思源黑体 CN Normal" w:hAnsi="思源黑体 CN Normal" w:eastAsia="思源黑体 CN Normal" w:cs="Times New Roman"/>
                <w:b/>
                <w:sz w:val="22"/>
              </w:rPr>
              <w:t>系统名称</w:t>
            </w:r>
          </w:p>
        </w:tc>
        <w:tc>
          <w:tcPr>
            <w:tcW w:w="1009" w:type="dxa"/>
            <w:vAlign w:val="center"/>
          </w:tcPr>
          <w:p>
            <w:pPr>
              <w:jc w:val="center"/>
              <w:rPr>
                <w:rFonts w:ascii="思源黑体 CN Normal" w:hAnsi="思源黑体 CN Normal" w:eastAsia="思源黑体 CN Normal"/>
              </w:rPr>
            </w:pPr>
            <w:r>
              <w:rPr>
                <w:rFonts w:ascii="思源黑体 CN Normal" w:hAnsi="思源黑体 CN Normal" w:eastAsia="思源黑体 CN Normal" w:cs="Times New Roman"/>
                <w:b/>
                <w:sz w:val="22"/>
              </w:rPr>
              <w:t>模块名称</w:t>
            </w:r>
          </w:p>
        </w:tc>
        <w:tc>
          <w:tcPr>
            <w:tcW w:w="3941" w:type="dxa"/>
            <w:vAlign w:val="center"/>
          </w:tcPr>
          <w:p>
            <w:pPr>
              <w:jc w:val="center"/>
              <w:rPr>
                <w:rFonts w:ascii="思源黑体 CN Normal" w:hAnsi="思源黑体 CN Normal" w:eastAsia="思源黑体 CN Normal"/>
              </w:rPr>
            </w:pPr>
            <w:r>
              <w:rPr>
                <w:rFonts w:ascii="思源黑体 CN Normal" w:hAnsi="思源黑体 CN Normal" w:eastAsia="思源黑体 CN Normal" w:cs="Times New Roman"/>
                <w:b/>
                <w:sz w:val="22"/>
              </w:rPr>
              <w:t>规格</w:t>
            </w:r>
          </w:p>
        </w:tc>
        <w:tc>
          <w:tcPr>
            <w:tcW w:w="2536" w:type="dxa"/>
            <w:vAlign w:val="center"/>
          </w:tcPr>
          <w:p>
            <w:pPr>
              <w:jc w:val="center"/>
              <w:rPr>
                <w:rFonts w:ascii="思源黑体 CN Normal" w:hAnsi="思源黑体 CN Normal" w:eastAsia="思源黑体 CN Normal"/>
              </w:rPr>
            </w:pPr>
            <w:r>
              <w:rPr>
                <w:rFonts w:ascii="思源黑体 CN Normal" w:hAnsi="思源黑体 CN Normal" w:eastAsia="思源黑体 CN Normal" w:cs="Times New Roman"/>
                <w:b/>
                <w:sz w:val="22"/>
              </w:rPr>
              <w:t>备注</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19" w:type="dxa"/>
            <w:vMerge w:val="restart"/>
            <w:vAlign w:val="center"/>
          </w:tcPr>
          <w:p>
            <w:pPr>
              <w:jc w:val="center"/>
              <w:rPr>
                <w:rFonts w:ascii="思源黑体 CN Normal" w:hAnsi="思源黑体 CN Normal" w:eastAsia="思源黑体 CN Normal"/>
                <w:b/>
                <w:bCs/>
              </w:rPr>
            </w:pPr>
            <w:r>
              <w:rPr>
                <w:rFonts w:ascii="思源黑体 CN Normal" w:hAnsi="思源黑体 CN Normal" w:eastAsia="思源黑体 CN Normal" w:cs="Times New Roman"/>
                <w:b/>
                <w:bCs/>
                <w:sz w:val="22"/>
              </w:rPr>
              <w:t>电力系统</w:t>
            </w:r>
          </w:p>
        </w:tc>
        <w:tc>
          <w:tcPr>
            <w:tcW w:w="1009" w:type="dxa"/>
            <w:vAlign w:val="center"/>
          </w:tcPr>
          <w:p>
            <w:pPr>
              <w:jc w:val="center"/>
              <w:rPr>
                <w:rFonts w:ascii="思源黑体 CN Normal" w:hAnsi="思源黑体 CN Normal" w:eastAsia="思源黑体 CN Normal"/>
              </w:rPr>
            </w:pPr>
            <w:r>
              <w:rPr>
                <w:rFonts w:ascii="思源黑体 CN Normal" w:hAnsi="思源黑体 CN Normal" w:eastAsia="思源黑体 CN Normal" w:cs="Times New Roman"/>
                <w:sz w:val="22"/>
              </w:rPr>
              <w:t>内置电池</w:t>
            </w:r>
          </w:p>
        </w:tc>
        <w:tc>
          <w:tcPr>
            <w:tcW w:w="3941" w:type="dxa"/>
          </w:tcPr>
          <w:p>
            <w:pPr>
              <w:numPr>
                <w:ilvl w:val="0"/>
                <w:numId w:val="27"/>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18650锂电池：3.7V 2500mAh</w:t>
            </w:r>
          </w:p>
        </w:tc>
        <w:tc>
          <w:tcPr>
            <w:tcW w:w="2536" w:type="dxa"/>
            <w:vMerge w:val="restart"/>
            <w:vAlign w:val="center"/>
          </w:tcPr>
          <w:p>
            <w:pPr>
              <w:rPr>
                <w:rFonts w:ascii="思源黑体 CN Normal" w:hAnsi="思源黑体 CN Normal" w:eastAsia="思源黑体 CN Normal"/>
              </w:rPr>
            </w:pPr>
            <w:r>
              <w:rPr>
                <w:rFonts w:ascii="思源黑体 CN Normal" w:hAnsi="思源黑体 CN Normal" w:eastAsia="思源黑体 CN Normal" w:cs="Times New Roman"/>
                <w:sz w:val="22"/>
              </w:rPr>
              <w:drawing>
                <wp:anchor distT="0" distB="0" distL="114300" distR="114300" simplePos="0" relativeHeight="251681792" behindDoc="0" locked="0" layoutInCell="1" allowOverlap="1">
                  <wp:simplePos x="0" y="0"/>
                  <wp:positionH relativeFrom="column">
                    <wp:posOffset>191770</wp:posOffset>
                  </wp:positionH>
                  <wp:positionV relativeFrom="paragraph">
                    <wp:posOffset>504825</wp:posOffset>
                  </wp:positionV>
                  <wp:extent cx="1162050" cy="990600"/>
                  <wp:effectExtent l="0" t="0" r="0" b="0"/>
                  <wp:wrapTopAndBottom/>
                  <wp:docPr id="42" name="Picture 24" descr="Generated"/>
                  <wp:cNvGraphicFramePr/>
                  <a:graphic xmlns:a="http://schemas.openxmlformats.org/drawingml/2006/main">
                    <a:graphicData uri="http://schemas.openxmlformats.org/drawingml/2006/picture">
                      <pic:pic xmlns:pic="http://schemas.openxmlformats.org/drawingml/2006/picture">
                        <pic:nvPicPr>
                          <pic:cNvPr id="42" name="Picture 24" descr="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162050" cy="990600"/>
                          </a:xfrm>
                          <a:prstGeom prst="rect">
                            <a:avLst/>
                          </a:prstGeom>
                        </pic:spPr>
                      </pic:pic>
                    </a:graphicData>
                  </a:graphic>
                </wp:anchor>
              </w:drawing>
            </w:r>
            <w:r>
              <w:rPr>
                <w:rFonts w:ascii="思源黑体 CN Normal" w:hAnsi="思源黑体 CN Normal" w:eastAsia="思源黑体 CN Normal" w:cs="Times New Roman"/>
                <w:sz w:val="22"/>
              </w:rPr>
              <w:t>数量各限一个，并且安全地固定在机器人内</w:t>
            </w:r>
            <w:r>
              <w:rPr>
                <w:rFonts w:hint="eastAsia" w:ascii="思源黑体 CN Normal" w:hAnsi="思源黑体 CN Normal" w:eastAsia="思源黑体 CN Normal"/>
              </w:rPr>
              <w:t>。</w:t>
            </w:r>
          </w:p>
          <w:p>
            <w:pPr>
              <w:jc w:val="center"/>
              <w:rPr>
                <w:rFonts w:ascii="思源黑体 CN Normal" w:hAnsi="思源黑体 CN Normal" w:eastAsia="思源黑体 CN Normal"/>
              </w:rPr>
            </w:pPr>
            <w:r>
              <w:rPr>
                <w:rFonts w:ascii="思源黑体 CN Normal" w:hAnsi="思源黑体 CN Normal" w:eastAsia="思源黑体 CN Normal" w:cs="Times New Roman"/>
                <w:sz w:val="22"/>
              </w:rPr>
              <w:t>外接电池包示意图</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19" w:type="dxa"/>
            <w:vMerge w:val="continue"/>
            <w:vAlign w:val="center"/>
          </w:tcPr>
          <w:p>
            <w:pPr>
              <w:jc w:val="center"/>
              <w:rPr>
                <w:rFonts w:ascii="思源黑体 CN Normal" w:hAnsi="思源黑体 CN Normal" w:eastAsia="思源黑体 CN Normal"/>
                <w:b/>
                <w:bCs/>
              </w:rPr>
            </w:pPr>
          </w:p>
        </w:tc>
        <w:tc>
          <w:tcPr>
            <w:tcW w:w="1009" w:type="dxa"/>
            <w:vAlign w:val="center"/>
          </w:tcPr>
          <w:p>
            <w:pPr>
              <w:jc w:val="center"/>
              <w:rPr>
                <w:rFonts w:ascii="思源黑体 CN Normal" w:hAnsi="思源黑体 CN Normal" w:eastAsia="思源黑体 CN Normal"/>
              </w:rPr>
            </w:pPr>
            <w:r>
              <w:rPr>
                <w:rFonts w:ascii="思源黑体 CN Normal" w:hAnsi="思源黑体 CN Normal" w:eastAsia="思源黑体 CN Normal" w:cs="Times New Roman"/>
                <w:sz w:val="22"/>
              </w:rPr>
              <w:t>外置电池</w:t>
            </w:r>
          </w:p>
        </w:tc>
        <w:tc>
          <w:tcPr>
            <w:tcW w:w="3941" w:type="dxa"/>
          </w:tcPr>
          <w:p>
            <w:pPr>
              <w:numPr>
                <w:ilvl w:val="0"/>
                <w:numId w:val="28"/>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18650电池包</w:t>
            </w:r>
          </w:p>
          <w:p>
            <w:pPr>
              <w:numPr>
                <w:ilvl w:val="0"/>
                <w:numId w:val="29"/>
              </w:numPr>
              <w:spacing w:line="240" w:lineRule="auto"/>
              <w:ind w:left="453"/>
              <w:jc w:val="left"/>
              <w:rPr>
                <w:rFonts w:ascii="思源黑体 CN Normal" w:hAnsi="思源黑体 CN Normal" w:eastAsia="思源黑体 CN Normal"/>
              </w:rPr>
            </w:pPr>
            <w:r>
              <w:rPr>
                <w:rFonts w:ascii="思源黑体 CN Normal" w:hAnsi="思源黑体 CN Normal" w:eastAsia="思源黑体 CN Normal" w:cs="Times New Roman"/>
                <w:sz w:val="22"/>
              </w:rPr>
              <w:t>电池容量：2500</w:t>
            </w:r>
            <w:r>
              <w:rPr>
                <w:rFonts w:hint="eastAsia" w:ascii="思源黑体 CN Normal" w:hAnsi="思源黑体 CN Normal" w:eastAsia="思源黑体 CN Normal" w:cs="Times New Roman"/>
                <w:sz w:val="22"/>
              </w:rPr>
              <w:t>m</w:t>
            </w:r>
            <w:r>
              <w:rPr>
                <w:rFonts w:ascii="思源黑体 CN Normal" w:hAnsi="思源黑体 CN Normal" w:eastAsia="思源黑体 CN Normal" w:cs="Times New Roman"/>
                <w:sz w:val="22"/>
              </w:rPr>
              <w:t>Ah-8000</w:t>
            </w:r>
            <w:r>
              <w:rPr>
                <w:rFonts w:hint="eastAsia" w:ascii="思源黑体 CN Normal" w:hAnsi="思源黑体 CN Normal" w:eastAsia="思源黑体 CN Normal" w:cs="Times New Roman"/>
                <w:sz w:val="22"/>
              </w:rPr>
              <w:t>m</w:t>
            </w:r>
            <w:r>
              <w:rPr>
                <w:rFonts w:ascii="思源黑体 CN Normal" w:hAnsi="思源黑体 CN Normal" w:eastAsia="思源黑体 CN Normal" w:cs="Times New Roman"/>
                <w:sz w:val="22"/>
              </w:rPr>
              <w:t>Ah</w:t>
            </w:r>
          </w:p>
          <w:p>
            <w:pPr>
              <w:numPr>
                <w:ilvl w:val="0"/>
                <w:numId w:val="30"/>
              </w:numPr>
              <w:spacing w:line="240" w:lineRule="auto"/>
              <w:ind w:left="453"/>
              <w:jc w:val="left"/>
              <w:rPr>
                <w:rFonts w:ascii="思源黑体 CN Normal" w:hAnsi="思源黑体 CN Normal" w:eastAsia="思源黑体 CN Normal"/>
              </w:rPr>
            </w:pPr>
            <w:r>
              <w:rPr>
                <w:rFonts w:ascii="思源黑体 CN Normal" w:hAnsi="思源黑体 CN Normal" w:eastAsia="思源黑体 CN Normal" w:cs="Times New Roman"/>
                <w:sz w:val="22"/>
              </w:rPr>
              <w:t>放电倍率：3-5c</w:t>
            </w:r>
          </w:p>
        </w:tc>
        <w:tc>
          <w:tcPr>
            <w:tcW w:w="2536" w:type="dxa"/>
            <w:vMerge w:val="continue"/>
          </w:tcPr>
          <w:p>
            <w:pPr>
              <w:rPr>
                <w:rFonts w:ascii="思源黑体 CN Normal" w:hAnsi="思源黑体 CN Normal" w:eastAsia="思源黑体 CN Norm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19" w:type="dxa"/>
            <w:vMerge w:val="restart"/>
            <w:vAlign w:val="center"/>
          </w:tcPr>
          <w:p>
            <w:pPr>
              <w:jc w:val="center"/>
              <w:rPr>
                <w:rFonts w:ascii="思源黑体 CN Normal" w:hAnsi="思源黑体 CN Normal" w:eastAsia="思源黑体 CN Normal"/>
                <w:b/>
                <w:bCs/>
              </w:rPr>
            </w:pPr>
            <w:r>
              <w:rPr>
                <w:rFonts w:ascii="思源黑体 CN Normal" w:hAnsi="思源黑体 CN Normal" w:eastAsia="思源黑体 CN Normal" w:cs="Times New Roman"/>
                <w:b/>
                <w:bCs/>
                <w:sz w:val="22"/>
              </w:rPr>
              <w:t>主控系统</w:t>
            </w:r>
          </w:p>
        </w:tc>
        <w:tc>
          <w:tcPr>
            <w:tcW w:w="1009" w:type="dxa"/>
            <w:vAlign w:val="center"/>
          </w:tcPr>
          <w:p>
            <w:pPr>
              <w:jc w:val="center"/>
              <w:rPr>
                <w:rFonts w:ascii="思源黑体 CN Normal" w:hAnsi="思源黑体 CN Normal" w:eastAsia="思源黑体 CN Normal"/>
              </w:rPr>
            </w:pPr>
            <w:r>
              <w:rPr>
                <w:rFonts w:ascii="思源黑体 CN Normal" w:hAnsi="思源黑体 CN Normal" w:eastAsia="思源黑体 CN Normal" w:cs="Times New Roman"/>
                <w:sz w:val="22"/>
              </w:rPr>
              <w:t>主控</w:t>
            </w:r>
          </w:p>
        </w:tc>
        <w:tc>
          <w:tcPr>
            <w:tcW w:w="3941" w:type="dxa"/>
          </w:tcPr>
          <w:p>
            <w:pPr>
              <w:numPr>
                <w:ilvl w:val="0"/>
                <w:numId w:val="31"/>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处理器：高ESP32-WROVER-B</w:t>
            </w:r>
          </w:p>
          <w:p>
            <w:pPr>
              <w:numPr>
                <w:ilvl w:val="0"/>
                <w:numId w:val="32"/>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主频：240MHz</w:t>
            </w:r>
          </w:p>
          <w:p>
            <w:pPr>
              <w:numPr>
                <w:ilvl w:val="0"/>
                <w:numId w:val="33"/>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工作电压：6V ~ 13V（若使用电机时，输入最低电压必须满足电机工作电压要求）</w:t>
            </w:r>
          </w:p>
          <w:p>
            <w:pPr>
              <w:numPr>
                <w:ilvl w:val="0"/>
                <w:numId w:val="34"/>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通讯端口及协议：串口/mBuild 协议</w:t>
            </w:r>
          </w:p>
        </w:tc>
        <w:tc>
          <w:tcPr>
            <w:tcW w:w="2536" w:type="dxa"/>
            <w:vAlign w:val="center"/>
          </w:tcPr>
          <w:p>
            <w:pPr>
              <w:rPr>
                <w:rFonts w:ascii="思源黑体 CN Normal" w:hAnsi="思源黑体 CN Normal" w:eastAsia="思源黑体 CN Normal"/>
              </w:rPr>
            </w:pPr>
            <w:r>
              <w:rPr>
                <w:rFonts w:ascii="思源黑体 CN Normal" w:hAnsi="思源黑体 CN Normal" w:eastAsia="思源黑体 CN Normal" w:cs="Times New Roman"/>
                <w:sz w:val="22"/>
              </w:rPr>
              <w:t>只允许使用</w:t>
            </w:r>
            <w:r>
              <w:rPr>
                <w:rFonts w:hint="eastAsia" w:ascii="思源黑体 CN Normal" w:hAnsi="思源黑体 CN Normal" w:eastAsia="思源黑体 CN Normal" w:cs="Times New Roman"/>
                <w:sz w:val="22"/>
                <w:lang w:val="en-US" w:eastAsia="zh-CN"/>
              </w:rPr>
              <w:t>1</w:t>
            </w:r>
            <w:r>
              <w:rPr>
                <w:rFonts w:ascii="思源黑体 CN Normal" w:hAnsi="思源黑体 CN Normal" w:eastAsia="思源黑体 CN Normal" w:cs="Times New Roman"/>
                <w:sz w:val="22"/>
              </w:rPr>
              <w:t>个主控</w:t>
            </w:r>
          </w:p>
          <w:p>
            <w:pPr>
              <w:rPr>
                <w:rFonts w:ascii="思源黑体 CN Normal" w:hAnsi="思源黑体 CN Normal" w:eastAsia="思源黑体 CN Norm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19" w:type="dxa"/>
            <w:vMerge w:val="continue"/>
            <w:vAlign w:val="center"/>
          </w:tcPr>
          <w:p>
            <w:pPr>
              <w:jc w:val="center"/>
              <w:rPr>
                <w:rFonts w:ascii="思源黑体 CN Normal" w:hAnsi="思源黑体 CN Normal" w:eastAsia="思源黑体 CN Normal"/>
              </w:rPr>
            </w:pPr>
          </w:p>
        </w:tc>
        <w:tc>
          <w:tcPr>
            <w:tcW w:w="1009" w:type="dxa"/>
            <w:vAlign w:val="center"/>
          </w:tcPr>
          <w:p>
            <w:pPr>
              <w:jc w:val="center"/>
              <w:rPr>
                <w:rFonts w:ascii="思源黑体 CN Normal" w:hAnsi="思源黑体 CN Normal" w:eastAsia="思源黑体 CN Normal"/>
              </w:rPr>
            </w:pPr>
            <w:r>
              <w:rPr>
                <w:rFonts w:ascii="思源黑体 CN Normal" w:hAnsi="思源黑体 CN Normal" w:eastAsia="思源黑体 CN Normal" w:cs="Times New Roman"/>
                <w:sz w:val="22"/>
              </w:rPr>
              <w:t>扩展板</w:t>
            </w:r>
          </w:p>
        </w:tc>
        <w:tc>
          <w:tcPr>
            <w:tcW w:w="3941" w:type="dxa"/>
          </w:tcPr>
          <w:p>
            <w:pPr>
              <w:numPr>
                <w:ilvl w:val="0"/>
                <w:numId w:val="35"/>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微处理器：GD32F403</w:t>
            </w:r>
          </w:p>
          <w:p>
            <w:pPr>
              <w:numPr>
                <w:ilvl w:val="0"/>
                <w:numId w:val="36"/>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输入电压/电流：5V 2000mA（快充）5V 500mA（边充边用时）</w:t>
            </w:r>
          </w:p>
          <w:p>
            <w:pPr>
              <w:numPr>
                <w:ilvl w:val="0"/>
                <w:numId w:val="37"/>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通讯模式：</w:t>
            </w:r>
          </w:p>
          <w:p>
            <w:pPr>
              <w:numPr>
                <w:ilvl w:val="0"/>
                <w:numId w:val="38"/>
              </w:numPr>
              <w:spacing w:line="240" w:lineRule="auto"/>
              <w:ind w:left="453"/>
              <w:jc w:val="left"/>
              <w:rPr>
                <w:rFonts w:ascii="思源黑体 CN Normal" w:hAnsi="思源黑体 CN Normal" w:eastAsia="思源黑体 CN Normal"/>
              </w:rPr>
            </w:pPr>
            <w:r>
              <w:rPr>
                <w:rFonts w:ascii="思源黑体 CN Normal" w:hAnsi="思源黑体 CN Normal" w:eastAsia="思源黑体 CN Normal" w:cs="Times New Roman"/>
                <w:sz w:val="22"/>
              </w:rPr>
              <w:t>串口通信：主控板对扩展板</w:t>
            </w:r>
          </w:p>
          <w:p>
            <w:pPr>
              <w:numPr>
                <w:ilvl w:val="0"/>
                <w:numId w:val="39"/>
              </w:numPr>
              <w:spacing w:line="240" w:lineRule="auto"/>
              <w:ind w:left="453"/>
              <w:jc w:val="left"/>
              <w:rPr>
                <w:rFonts w:ascii="思源黑体 CN Normal" w:hAnsi="思源黑体 CN Normal" w:eastAsia="思源黑体 CN Normal"/>
              </w:rPr>
            </w:pPr>
            <w:r>
              <w:rPr>
                <w:rFonts w:ascii="思源黑体 CN Normal" w:hAnsi="思源黑体 CN Normal" w:eastAsia="思源黑体 CN Normal" w:cs="Times New Roman"/>
                <w:sz w:val="22"/>
              </w:rPr>
              <w:t>数字信号：数字舵机接口</w:t>
            </w:r>
          </w:p>
          <w:p>
            <w:pPr>
              <w:numPr>
                <w:ilvl w:val="0"/>
                <w:numId w:val="40"/>
              </w:numPr>
              <w:spacing w:line="240" w:lineRule="auto"/>
              <w:ind w:left="453"/>
              <w:jc w:val="left"/>
              <w:rPr>
                <w:rFonts w:ascii="思源黑体 CN Normal" w:hAnsi="思源黑体 CN Normal" w:eastAsia="思源黑体 CN Normal"/>
              </w:rPr>
            </w:pPr>
            <w:r>
              <w:rPr>
                <w:rFonts w:ascii="思源黑体 CN Normal" w:hAnsi="思源黑体 CN Normal" w:eastAsia="思源黑体 CN Normal" w:cs="Times New Roman"/>
                <w:sz w:val="22"/>
              </w:rPr>
              <w:t>PWM：直流电机接口</w:t>
            </w:r>
          </w:p>
        </w:tc>
        <w:tc>
          <w:tcPr>
            <w:tcW w:w="2536" w:type="dxa"/>
          </w:tcPr>
          <w:p>
            <w:pPr>
              <w:rPr>
                <w:rFonts w:ascii="思源黑体 CN Normal" w:hAnsi="思源黑体 CN Normal" w:eastAsia="思源黑体 CN Norm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19" w:type="dxa"/>
            <w:vAlign w:val="center"/>
          </w:tcPr>
          <w:p>
            <w:pPr>
              <w:jc w:val="center"/>
              <w:rPr>
                <w:rFonts w:ascii="思源黑体 CN Normal" w:hAnsi="思源黑体 CN Normal" w:eastAsia="思源黑体 CN Normal"/>
                <w:b/>
                <w:bCs/>
              </w:rPr>
            </w:pPr>
            <w:r>
              <w:rPr>
                <w:rFonts w:ascii="思源黑体 CN Normal" w:hAnsi="思源黑体 CN Normal" w:eastAsia="思源黑体 CN Normal" w:cs="Times New Roman"/>
                <w:b/>
                <w:bCs/>
                <w:sz w:val="22"/>
              </w:rPr>
              <w:t>传感器系统</w:t>
            </w:r>
          </w:p>
        </w:tc>
        <w:tc>
          <w:tcPr>
            <w:tcW w:w="1009" w:type="dxa"/>
          </w:tcPr>
          <w:p>
            <w:pPr>
              <w:jc w:val="left"/>
              <w:rPr>
                <w:rFonts w:ascii="思源黑体 CN Normal" w:hAnsi="思源黑体 CN Normal" w:eastAsia="思源黑体 CN Normal"/>
              </w:rPr>
            </w:pPr>
          </w:p>
          <w:p>
            <w:pPr>
              <w:jc w:val="left"/>
              <w:rPr>
                <w:rFonts w:ascii="思源黑体 CN Normal" w:hAnsi="思源黑体 CN Normal" w:eastAsia="思源黑体 CN Normal"/>
              </w:rPr>
            </w:pPr>
          </w:p>
        </w:tc>
        <w:tc>
          <w:tcPr>
            <w:tcW w:w="3941" w:type="dxa"/>
          </w:tcPr>
          <w:p>
            <w:pPr>
              <w:numPr>
                <w:ilvl w:val="0"/>
                <w:numId w:val="41"/>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视觉传感器</w:t>
            </w:r>
          </w:p>
          <w:p>
            <w:pPr>
              <w:numPr>
                <w:ilvl w:val="0"/>
                <w:numId w:val="42"/>
              </w:numPr>
              <w:spacing w:line="240" w:lineRule="auto"/>
              <w:ind w:left="453"/>
              <w:jc w:val="left"/>
              <w:rPr>
                <w:rFonts w:ascii="思源黑体 CN Normal" w:hAnsi="思源黑体 CN Normal" w:eastAsia="思源黑体 CN Normal"/>
              </w:rPr>
            </w:pPr>
            <w:r>
              <w:rPr>
                <w:rFonts w:ascii="思源黑体 CN Normal" w:hAnsi="思源黑体 CN Normal" w:eastAsia="思源黑体 CN Normal" w:cs="Times New Roman"/>
                <w:sz w:val="22"/>
              </w:rPr>
              <w:t>视场角：65.0度</w:t>
            </w:r>
          </w:p>
          <w:p>
            <w:pPr>
              <w:numPr>
                <w:ilvl w:val="0"/>
                <w:numId w:val="43"/>
              </w:numPr>
              <w:spacing w:line="240" w:lineRule="auto"/>
              <w:ind w:left="453"/>
              <w:jc w:val="left"/>
              <w:rPr>
                <w:rFonts w:ascii="思源黑体 CN Normal" w:hAnsi="思源黑体 CN Normal" w:eastAsia="思源黑体 CN Normal"/>
              </w:rPr>
            </w:pPr>
            <w:r>
              <w:rPr>
                <w:rFonts w:ascii="思源黑体 CN Normal" w:hAnsi="思源黑体 CN Normal" w:eastAsia="思源黑体 CN Normal" w:cs="Times New Roman"/>
                <w:sz w:val="22"/>
              </w:rPr>
              <w:t>有效焦距：4.65±5% mm</w:t>
            </w:r>
          </w:p>
          <w:p>
            <w:pPr>
              <w:numPr>
                <w:ilvl w:val="0"/>
                <w:numId w:val="44"/>
              </w:numPr>
              <w:spacing w:line="240" w:lineRule="auto"/>
              <w:ind w:left="453"/>
              <w:jc w:val="left"/>
              <w:rPr>
                <w:rFonts w:ascii="思源黑体 CN Normal" w:hAnsi="思源黑体 CN Normal" w:eastAsia="思源黑体 CN Normal"/>
              </w:rPr>
            </w:pPr>
            <w:r>
              <w:rPr>
                <w:rFonts w:ascii="思源黑体 CN Normal" w:hAnsi="思源黑体 CN Normal" w:eastAsia="思源黑体 CN Normal" w:cs="Times New Roman"/>
                <w:sz w:val="22"/>
              </w:rPr>
              <w:t>识别速度：60帧/s</w:t>
            </w:r>
          </w:p>
          <w:p>
            <w:pPr>
              <w:numPr>
                <w:ilvl w:val="0"/>
                <w:numId w:val="45"/>
              </w:numPr>
              <w:spacing w:line="240" w:lineRule="auto"/>
              <w:ind w:left="453"/>
              <w:jc w:val="left"/>
              <w:rPr>
                <w:rFonts w:ascii="思源黑体 CN Normal" w:hAnsi="思源黑体 CN Normal" w:eastAsia="思源黑体 CN Normal"/>
              </w:rPr>
            </w:pPr>
            <w:r>
              <w:rPr>
                <w:rFonts w:ascii="思源黑体 CN Normal" w:hAnsi="思源黑体 CN Normal" w:eastAsia="思源黑体 CN Normal" w:cs="Times New Roman"/>
                <w:sz w:val="22"/>
              </w:rPr>
              <w:t>识别距离：0.25-1.2m范围最佳</w:t>
            </w:r>
          </w:p>
          <w:p>
            <w:pPr>
              <w:numPr>
                <w:ilvl w:val="0"/>
                <w:numId w:val="46"/>
              </w:numPr>
              <w:spacing w:line="240" w:lineRule="auto"/>
              <w:ind w:left="453"/>
              <w:jc w:val="left"/>
              <w:rPr>
                <w:rFonts w:ascii="思源黑体 CN Normal" w:hAnsi="思源黑体 CN Normal" w:eastAsia="思源黑体 CN Normal"/>
              </w:rPr>
            </w:pPr>
            <w:r>
              <w:rPr>
                <w:rFonts w:ascii="思源黑体 CN Normal" w:hAnsi="思源黑体 CN Normal" w:eastAsia="思源黑体 CN Normal" w:cs="Times New Roman"/>
                <w:sz w:val="22"/>
              </w:rPr>
              <w:t>供电方式：3.7V锂电池或5V mBuild电源模块</w:t>
            </w:r>
          </w:p>
          <w:p>
            <w:pPr>
              <w:numPr>
                <w:ilvl w:val="0"/>
                <w:numId w:val="47"/>
              </w:numPr>
              <w:spacing w:line="240" w:lineRule="auto"/>
              <w:ind w:left="453"/>
              <w:jc w:val="left"/>
              <w:rPr>
                <w:rFonts w:ascii="思源黑体 CN Normal" w:hAnsi="思源黑体 CN Normal" w:eastAsia="思源黑体 CN Normal"/>
              </w:rPr>
            </w:pPr>
            <w:r>
              <w:rPr>
                <w:rFonts w:ascii="思源黑体 CN Normal" w:hAnsi="思源黑体 CN Normal" w:eastAsia="思源黑体 CN Normal" w:cs="Times New Roman"/>
                <w:sz w:val="22"/>
              </w:rPr>
              <w:t>功耗范围：0.9-1.3W</w:t>
            </w:r>
          </w:p>
          <w:p>
            <w:pPr>
              <w:numPr>
                <w:ilvl w:val="0"/>
                <w:numId w:val="48"/>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超声波传感器</w:t>
            </w:r>
          </w:p>
          <w:p>
            <w:pPr>
              <w:numPr>
                <w:ilvl w:val="0"/>
                <w:numId w:val="49"/>
              </w:numPr>
              <w:spacing w:line="240" w:lineRule="auto"/>
              <w:ind w:left="453"/>
              <w:jc w:val="left"/>
              <w:rPr>
                <w:rFonts w:ascii="思源黑体 CN Normal" w:hAnsi="思源黑体 CN Normal" w:eastAsia="思源黑体 CN Normal"/>
              </w:rPr>
            </w:pPr>
            <w:r>
              <w:rPr>
                <w:rFonts w:ascii="思源黑体 CN Normal" w:hAnsi="思源黑体 CN Normal" w:eastAsia="思源黑体 CN Normal" w:cs="Times New Roman"/>
                <w:sz w:val="22"/>
              </w:rPr>
              <w:t>工作电压：DC 5V</w:t>
            </w:r>
          </w:p>
          <w:p>
            <w:pPr>
              <w:numPr>
                <w:ilvl w:val="0"/>
                <w:numId w:val="50"/>
              </w:numPr>
              <w:spacing w:line="240" w:lineRule="auto"/>
              <w:ind w:left="453"/>
              <w:jc w:val="left"/>
              <w:rPr>
                <w:rFonts w:ascii="思源黑体 CN Normal" w:hAnsi="思源黑体 CN Normal" w:eastAsia="思源黑体 CN Normal"/>
              </w:rPr>
            </w:pPr>
            <w:r>
              <w:rPr>
                <w:rFonts w:ascii="思源黑体 CN Normal" w:hAnsi="思源黑体 CN Normal" w:eastAsia="思源黑体 CN Normal" w:cs="Times New Roman"/>
                <w:sz w:val="22"/>
              </w:rPr>
              <w:t>读值范围：5-300cm</w:t>
            </w:r>
          </w:p>
          <w:p>
            <w:pPr>
              <w:numPr>
                <w:ilvl w:val="0"/>
                <w:numId w:val="51"/>
              </w:numPr>
              <w:spacing w:line="240" w:lineRule="auto"/>
              <w:ind w:left="453"/>
              <w:jc w:val="left"/>
              <w:rPr>
                <w:rFonts w:ascii="思源黑体 CN Normal" w:hAnsi="思源黑体 CN Normal" w:eastAsia="思源黑体 CN Normal"/>
              </w:rPr>
            </w:pPr>
            <w:r>
              <w:rPr>
                <w:rFonts w:ascii="思源黑体 CN Normal" w:hAnsi="思源黑体 CN Normal" w:eastAsia="思源黑体 CN Normal" w:cs="Times New Roman"/>
                <w:sz w:val="22"/>
              </w:rPr>
              <w:t>读值误差：±5%</w:t>
            </w:r>
          </w:p>
          <w:p>
            <w:pPr>
              <w:numPr>
                <w:ilvl w:val="0"/>
                <w:numId w:val="52"/>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巡线传感器</w:t>
            </w:r>
          </w:p>
          <w:p>
            <w:pPr>
              <w:numPr>
                <w:ilvl w:val="0"/>
                <w:numId w:val="53"/>
              </w:numPr>
              <w:spacing w:line="240" w:lineRule="auto"/>
              <w:ind w:left="453"/>
              <w:jc w:val="left"/>
              <w:rPr>
                <w:rFonts w:ascii="思源黑体 CN Normal" w:hAnsi="思源黑体 CN Normal" w:eastAsia="思源黑体 CN Normal"/>
              </w:rPr>
            </w:pPr>
            <w:r>
              <w:rPr>
                <w:rFonts w:ascii="思源黑体 CN Normal" w:hAnsi="思源黑体 CN Normal" w:eastAsia="思源黑体 CN Normal" w:cs="Times New Roman"/>
                <w:sz w:val="22"/>
              </w:rPr>
              <w:t>工作电压：DC 5V</w:t>
            </w:r>
          </w:p>
          <w:p>
            <w:pPr>
              <w:numPr>
                <w:ilvl w:val="0"/>
                <w:numId w:val="54"/>
              </w:numPr>
              <w:spacing w:line="240" w:lineRule="auto"/>
              <w:ind w:left="453"/>
              <w:jc w:val="left"/>
              <w:rPr>
                <w:rFonts w:ascii="思源黑体 CN Normal" w:hAnsi="思源黑体 CN Normal" w:eastAsia="思源黑体 CN Normal"/>
              </w:rPr>
            </w:pPr>
            <w:r>
              <w:rPr>
                <w:rFonts w:ascii="思源黑体 CN Normal" w:hAnsi="思源黑体 CN Normal" w:eastAsia="思源黑体 CN Normal" w:cs="Times New Roman"/>
                <w:sz w:val="22"/>
              </w:rPr>
              <w:t>检测高度：5mm-15mm</w:t>
            </w:r>
          </w:p>
        </w:tc>
        <w:tc>
          <w:tcPr>
            <w:tcW w:w="2536" w:type="dxa"/>
            <w:vAlign w:val="center"/>
          </w:tcPr>
          <w:p>
            <w:pPr>
              <w:rPr>
                <w:rFonts w:ascii="思源黑体 CN Normal" w:hAnsi="思源黑体 CN Normal" w:eastAsia="思源黑体 CN Normal"/>
              </w:rPr>
            </w:pPr>
            <w:r>
              <w:rPr>
                <w:rFonts w:ascii="思源黑体 CN Normal" w:hAnsi="思源黑体 CN Normal" w:eastAsia="思源黑体 CN Normal" w:cs="Times New Roman"/>
                <w:sz w:val="22"/>
              </w:rPr>
              <w:t>类型和数量不限</w:t>
            </w:r>
          </w:p>
          <w:p>
            <w:pPr>
              <w:numPr>
                <w:ilvl w:val="0"/>
                <w:numId w:val="55"/>
              </w:numPr>
              <w:spacing w:line="240" w:lineRule="auto"/>
              <w:rPr>
                <w:rFonts w:ascii="思源黑体 CN Normal" w:hAnsi="思源黑体 CN Normal" w:eastAsia="思源黑体 CN Normal"/>
              </w:rPr>
            </w:pPr>
            <w:r>
              <w:rPr>
                <w:rFonts w:ascii="思源黑体 CN Normal" w:hAnsi="思源黑体 CN Normal" w:eastAsia="思源黑体 CN Normal" w:cs="Times New Roman"/>
                <w:sz w:val="22"/>
              </w:rPr>
              <w:t>机器人禁止使用任何可干扰到其它机器人感知能力的传感器</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19" w:type="dxa"/>
            <w:vMerge w:val="restart"/>
            <w:vAlign w:val="center"/>
          </w:tcPr>
          <w:p>
            <w:pPr>
              <w:jc w:val="center"/>
              <w:rPr>
                <w:rFonts w:ascii="思源黑体 CN Normal" w:hAnsi="思源黑体 CN Normal" w:eastAsia="思源黑体 CN Normal"/>
                <w:b/>
                <w:bCs/>
              </w:rPr>
            </w:pPr>
            <w:r>
              <w:rPr>
                <w:rFonts w:ascii="思源黑体 CN Normal" w:hAnsi="思源黑体 CN Normal" w:eastAsia="思源黑体 CN Normal" w:cs="Times New Roman"/>
                <w:b/>
                <w:bCs/>
                <w:sz w:val="22"/>
              </w:rPr>
              <w:t>无线控制系统</w:t>
            </w:r>
          </w:p>
        </w:tc>
        <w:tc>
          <w:tcPr>
            <w:tcW w:w="1009" w:type="dxa"/>
            <w:vAlign w:val="center"/>
          </w:tcPr>
          <w:p>
            <w:pPr>
              <w:jc w:val="center"/>
              <w:rPr>
                <w:rFonts w:ascii="思源黑体 CN Normal" w:hAnsi="思源黑体 CN Normal" w:eastAsia="思源黑体 CN Normal"/>
              </w:rPr>
            </w:pPr>
            <w:r>
              <w:rPr>
                <w:rFonts w:ascii="思源黑体 CN Normal" w:hAnsi="思源黑体 CN Normal" w:eastAsia="思源黑体 CN Normal" w:cs="Times New Roman"/>
                <w:sz w:val="22"/>
              </w:rPr>
              <w:t>蓝牙手柄</w:t>
            </w:r>
          </w:p>
          <w:p>
            <w:pPr>
              <w:jc w:val="center"/>
              <w:rPr>
                <w:rFonts w:ascii="思源黑体 CN Normal" w:hAnsi="思源黑体 CN Normal" w:eastAsia="思源黑体 CN Normal"/>
              </w:rPr>
            </w:pPr>
          </w:p>
        </w:tc>
        <w:tc>
          <w:tcPr>
            <w:tcW w:w="3941" w:type="dxa"/>
          </w:tcPr>
          <w:p>
            <w:pPr>
              <w:numPr>
                <w:ilvl w:val="0"/>
                <w:numId w:val="56"/>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蓝牙版本：支持4.0+</w:t>
            </w:r>
          </w:p>
          <w:p>
            <w:pPr>
              <w:numPr>
                <w:ilvl w:val="0"/>
                <w:numId w:val="57"/>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传输距离：20m</w:t>
            </w:r>
          </w:p>
          <w:p>
            <w:pPr>
              <w:numPr>
                <w:ilvl w:val="0"/>
                <w:numId w:val="58"/>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 xml:space="preserve">工作电流： ≤25mA </w:t>
            </w:r>
          </w:p>
          <w:p>
            <w:pPr>
              <w:numPr>
                <w:ilvl w:val="0"/>
                <w:numId w:val="59"/>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发射功率：4dBm</w:t>
            </w:r>
          </w:p>
          <w:p>
            <w:pPr>
              <w:numPr>
                <w:ilvl w:val="0"/>
                <w:numId w:val="60"/>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传输数据：100ms之内数据包能够被蓝牙设备获取 (低延迟)</w:t>
            </w:r>
          </w:p>
          <w:p>
            <w:pPr>
              <w:numPr>
                <w:ilvl w:val="0"/>
                <w:numId w:val="61"/>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电池：两节5号 AA 干电池</w:t>
            </w:r>
          </w:p>
          <w:p>
            <w:pPr>
              <w:numPr>
                <w:ilvl w:val="0"/>
                <w:numId w:val="62"/>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支持平台：macOS / Windows</w:t>
            </w:r>
          </w:p>
        </w:tc>
        <w:tc>
          <w:tcPr>
            <w:tcW w:w="2536" w:type="dxa"/>
            <w:vAlign w:val="center"/>
          </w:tcPr>
          <w:p>
            <w:pPr>
              <w:numPr>
                <w:ilvl w:val="0"/>
                <w:numId w:val="63"/>
              </w:numPr>
              <w:spacing w:line="240" w:lineRule="auto"/>
              <w:rPr>
                <w:rFonts w:ascii="思源黑体 CN Normal" w:hAnsi="思源黑体 CN Normal" w:eastAsia="思源黑体 CN Normal"/>
              </w:rPr>
            </w:pPr>
            <w:r>
              <w:rPr>
                <w:rFonts w:ascii="思源黑体 CN Normal" w:hAnsi="思源黑体 CN Normal" w:eastAsia="思源黑体 CN Normal" w:cs="Times New Roman"/>
                <w:sz w:val="22"/>
              </w:rPr>
              <w:t>在比赛时，一个队伍仅能使用1台蓝牙手柄</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19" w:type="dxa"/>
            <w:vMerge w:val="continue"/>
            <w:vAlign w:val="center"/>
          </w:tcPr>
          <w:p>
            <w:pPr>
              <w:jc w:val="center"/>
              <w:rPr>
                <w:rFonts w:ascii="思源黑体 CN Normal" w:hAnsi="思源黑体 CN Normal" w:eastAsia="思源黑体 CN Normal"/>
              </w:rPr>
            </w:pPr>
          </w:p>
        </w:tc>
        <w:tc>
          <w:tcPr>
            <w:tcW w:w="1009" w:type="dxa"/>
            <w:vAlign w:val="center"/>
          </w:tcPr>
          <w:p>
            <w:pPr>
              <w:jc w:val="center"/>
              <w:rPr>
                <w:rFonts w:ascii="思源黑体 CN Normal" w:hAnsi="思源黑体 CN Normal" w:eastAsia="思源黑体 CN Normal"/>
              </w:rPr>
            </w:pPr>
            <w:r>
              <w:rPr>
                <w:rFonts w:ascii="思源黑体 CN Normal" w:hAnsi="思源黑体 CN Normal" w:eastAsia="思源黑体 CN Normal" w:cs="Times New Roman"/>
                <w:sz w:val="22"/>
              </w:rPr>
              <w:t>蓝牙模块</w:t>
            </w:r>
          </w:p>
        </w:tc>
        <w:tc>
          <w:tcPr>
            <w:tcW w:w="3941" w:type="dxa"/>
          </w:tcPr>
          <w:p>
            <w:pPr>
              <w:numPr>
                <w:ilvl w:val="0"/>
                <w:numId w:val="64"/>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蓝牙版本：BT4.0</w:t>
            </w:r>
          </w:p>
          <w:p>
            <w:pPr>
              <w:numPr>
                <w:ilvl w:val="0"/>
                <w:numId w:val="65"/>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频带范围：2402~2480MHz</w:t>
            </w:r>
          </w:p>
          <w:p>
            <w:pPr>
              <w:numPr>
                <w:ilvl w:val="0"/>
                <w:numId w:val="66"/>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天线增益：1.5dBi</w:t>
            </w:r>
          </w:p>
          <w:p>
            <w:pPr>
              <w:numPr>
                <w:ilvl w:val="0"/>
                <w:numId w:val="67"/>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能耗等级：≤4dBm</w:t>
            </w:r>
          </w:p>
          <w:p>
            <w:pPr>
              <w:numPr>
                <w:ilvl w:val="0"/>
                <w:numId w:val="68"/>
              </w:numPr>
              <w:spacing w:line="240" w:lineRule="auto"/>
              <w:jc w:val="left"/>
              <w:rPr>
                <w:rFonts w:ascii="思源黑体 CN Normal" w:hAnsi="思源黑体 CN Normal" w:eastAsia="思源黑体 CN Normal"/>
              </w:rPr>
            </w:pPr>
            <w:r>
              <w:rPr>
                <w:rFonts w:ascii="思源黑体 CN Normal" w:hAnsi="思源黑体 CN Normal" w:eastAsia="思源黑体 CN Normal" w:cs="Times New Roman"/>
                <w:sz w:val="22"/>
              </w:rPr>
              <w:t>工作电流：15mA</w:t>
            </w:r>
          </w:p>
        </w:tc>
        <w:tc>
          <w:tcPr>
            <w:tcW w:w="2536" w:type="dxa"/>
            <w:vAlign w:val="center"/>
          </w:tcPr>
          <w:p>
            <w:pPr>
              <w:rPr>
                <w:rFonts w:ascii="思源黑体 CN Normal" w:hAnsi="思源黑体 CN Normal" w:eastAsia="思源黑体 CN Normal"/>
              </w:rPr>
            </w:pPr>
            <w:r>
              <w:rPr>
                <w:rFonts w:ascii="思源黑体 CN Normal" w:hAnsi="思源黑体 CN Normal" w:eastAsia="思源黑体 CN Normal" w:cs="Times New Roman"/>
                <w:sz w:val="22"/>
              </w:rPr>
              <w:t>禁止使用除官方配备的蓝牙手柄以外任何形式的无线控制与机器人进行通信，包括但不限于任何人为触发的传感器</w:t>
            </w:r>
          </w:p>
        </w:tc>
      </w:tr>
    </w:tbl>
    <w:p>
      <w:pPr>
        <w:pStyle w:val="48"/>
        <w:spacing w:before="156" w:beforeLines="50"/>
        <w:ind w:firstLine="480"/>
      </w:pPr>
      <w:r>
        <w:rPr>
          <w:rFonts w:hint="eastAsia"/>
        </w:rPr>
        <w:t>若参赛战队机器人使用激光瞄准器，该激光瞄准器功率需小于等于</w:t>
      </w:r>
      <w:r>
        <w:t>5mW（第3 a/R级以下），每台机器人仅允许安装至多</w:t>
      </w:r>
      <w:r>
        <w:rPr>
          <w:rFonts w:hint="eastAsia"/>
          <w:lang w:val="en-US" w:eastAsia="zh-CN"/>
        </w:rPr>
        <w:t>1</w:t>
      </w:r>
      <w:r>
        <w:t>个激光瞄准器。</w:t>
      </w:r>
    </w:p>
    <w:p>
      <w:pPr>
        <w:pStyle w:val="48"/>
        <w:spacing w:before="156" w:beforeLines="50"/>
        <w:ind w:firstLine="480"/>
      </w:pPr>
      <w:r>
        <w:rPr>
          <w:rFonts w:hint="eastAsia"/>
        </w:rPr>
        <w:t>战队不允许使用多自由度商业产品搭建机器人：</w:t>
      </w:r>
      <w:r>
        <w:t xml:space="preserve"> </w:t>
      </w:r>
    </w:p>
    <w:p>
      <w:pPr>
        <w:pStyle w:val="30"/>
        <w:numPr>
          <w:ilvl w:val="0"/>
          <w:numId w:val="69"/>
        </w:numPr>
      </w:pPr>
      <w:r>
        <w:t>包括但不限于多自由度机械臂、机械手等</w:t>
      </w:r>
      <w:r>
        <w:rPr>
          <w:rFonts w:hint="eastAsia"/>
        </w:rPr>
        <w:t>。</w:t>
      </w:r>
    </w:p>
    <w:p>
      <w:pPr>
        <w:pStyle w:val="30"/>
        <w:numPr>
          <w:ilvl w:val="0"/>
          <w:numId w:val="69"/>
        </w:numPr>
      </w:pPr>
      <w:r>
        <w:t>不包含金属、塑料结构件。</w:t>
      </w:r>
    </w:p>
    <w:p>
      <w:pPr>
        <w:pStyle w:val="48"/>
        <w:ind w:firstLine="480"/>
      </w:pPr>
      <w:r>
        <w:t>禁止机器人使用可能造成危险的零部件，例如：</w:t>
      </w:r>
    </w:p>
    <w:p>
      <w:pPr>
        <w:pStyle w:val="30"/>
        <w:numPr>
          <w:ilvl w:val="0"/>
          <w:numId w:val="69"/>
        </w:numPr>
      </w:pPr>
      <w:r>
        <w:t>锐利的尖角；</w:t>
      </w:r>
    </w:p>
    <w:p>
      <w:pPr>
        <w:pStyle w:val="30"/>
        <w:numPr>
          <w:ilvl w:val="0"/>
          <w:numId w:val="69"/>
        </w:numPr>
      </w:pPr>
      <w:r>
        <w:t>油压件或液压件；</w:t>
      </w:r>
    </w:p>
    <w:p>
      <w:pPr>
        <w:pStyle w:val="30"/>
        <w:numPr>
          <w:ilvl w:val="0"/>
          <w:numId w:val="69"/>
        </w:numPr>
      </w:pPr>
      <w:r>
        <w:t>含有水银的开关或触点；</w:t>
      </w:r>
    </w:p>
    <w:p>
      <w:pPr>
        <w:pStyle w:val="30"/>
        <w:numPr>
          <w:ilvl w:val="0"/>
          <w:numId w:val="69"/>
        </w:numPr>
      </w:pPr>
      <w:r>
        <w:t>能够将机器人上电流传导至场地上的零件；</w:t>
      </w:r>
    </w:p>
    <w:p>
      <w:pPr>
        <w:pStyle w:val="30"/>
        <w:numPr>
          <w:ilvl w:val="0"/>
          <w:numId w:val="69"/>
        </w:numPr>
      </w:pPr>
      <w:r>
        <w:t>易造成与其他机器人固</w:t>
      </w:r>
      <w:r>
        <w:rPr>
          <w:rFonts w:hint="eastAsia"/>
        </w:rPr>
        <w:t>定连接</w:t>
      </w:r>
      <w:r>
        <w:t>的零部件，如钩状零件等；</w:t>
      </w:r>
    </w:p>
    <w:p>
      <w:pPr>
        <w:pStyle w:val="30"/>
        <w:numPr>
          <w:ilvl w:val="0"/>
          <w:numId w:val="69"/>
        </w:numPr>
      </w:pPr>
      <w:r>
        <w:t>其他裁判裁定可能导致危险的零部件。</w:t>
      </w:r>
    </w:p>
    <w:p>
      <w:pPr>
        <w:pStyle w:val="48"/>
        <w:ind w:firstLine="480"/>
      </w:pPr>
      <w:r>
        <w:t>禁止机器人使用可能造成危险的材料，例如：</w:t>
      </w:r>
    </w:p>
    <w:p>
      <w:pPr>
        <w:pStyle w:val="30"/>
        <w:numPr>
          <w:ilvl w:val="0"/>
          <w:numId w:val="69"/>
        </w:numPr>
      </w:pPr>
      <w:r>
        <w:t>易燃易爆气体；</w:t>
      </w:r>
    </w:p>
    <w:p>
      <w:pPr>
        <w:pStyle w:val="30"/>
        <w:numPr>
          <w:ilvl w:val="0"/>
          <w:numId w:val="69"/>
        </w:numPr>
      </w:pPr>
      <w:r>
        <w:t>含有液体或胶状物的材料（按规定少量使用的胶水、润滑油除外）；</w:t>
      </w:r>
    </w:p>
    <w:p>
      <w:pPr>
        <w:pStyle w:val="30"/>
        <w:numPr>
          <w:ilvl w:val="0"/>
          <w:numId w:val="69"/>
        </w:numPr>
      </w:pPr>
      <w:r>
        <w:t>可能造成场地污染的材料，例如沙子、墨水等；</w:t>
      </w:r>
    </w:p>
    <w:p>
      <w:pPr>
        <w:pStyle w:val="30"/>
        <w:numPr>
          <w:ilvl w:val="0"/>
          <w:numId w:val="69"/>
        </w:numPr>
      </w:pPr>
      <w:r>
        <w:t>动物组织制作的材料；</w:t>
      </w:r>
    </w:p>
    <w:p>
      <w:pPr>
        <w:pStyle w:val="30"/>
        <w:numPr>
          <w:ilvl w:val="0"/>
          <w:numId w:val="69"/>
        </w:numPr>
      </w:pPr>
      <w:r>
        <w:t>其他裁判裁定可能导致危险的材料。</w:t>
      </w:r>
    </w:p>
    <w:p>
      <w:pPr>
        <w:pStyle w:val="81"/>
      </w:pPr>
      <w:bookmarkStart w:id="12" w:name="_Toc29138"/>
      <w:r>
        <w:rPr>
          <w:rFonts w:hint="eastAsia"/>
        </w:rPr>
        <w:t>环保旗帜制作规范</w:t>
      </w:r>
      <w:bookmarkEnd w:id="12"/>
    </w:p>
    <w:p>
      <w:pPr>
        <w:pStyle w:val="95"/>
        <w:rPr>
          <w:highlight w:val="none"/>
        </w:rPr>
      </w:pPr>
      <w:r>
        <w:rPr>
          <w:highlight w:val="none"/>
        </w:rPr>
        <w:t>环保旗帜由参赛队伍自行制作</w:t>
      </w:r>
      <w:r>
        <w:rPr>
          <w:rFonts w:hint="eastAsia"/>
          <w:highlight w:val="none"/>
          <w:lang w:eastAsia="zh-CN"/>
        </w:rPr>
        <w:t>，</w:t>
      </w:r>
      <w:r>
        <w:rPr>
          <w:rFonts w:hint="eastAsia"/>
          <w:highlight w:val="none"/>
          <w:lang w:val="en-US" w:eastAsia="zh-CN"/>
        </w:rPr>
        <w:t>制作要求如下：</w:t>
      </w:r>
    </w:p>
    <w:p>
      <w:pPr>
        <w:widowControl/>
        <w:spacing w:after="156" w:afterLines="50" w:line="240" w:lineRule="auto"/>
        <w:jc w:val="center"/>
        <w:rPr>
          <w:highlight w:val="none"/>
        </w:rPr>
      </w:pPr>
      <w:r>
        <w:rPr>
          <w:highlight w:val="none"/>
        </w:rPr>
        <w:drawing>
          <wp:anchor distT="0" distB="0" distL="114300" distR="114300" simplePos="0" relativeHeight="251677696" behindDoc="0" locked="0" layoutInCell="1" allowOverlap="1">
            <wp:simplePos x="0" y="0"/>
            <wp:positionH relativeFrom="column">
              <wp:posOffset>2167890</wp:posOffset>
            </wp:positionH>
            <wp:positionV relativeFrom="paragraph">
              <wp:posOffset>114935</wp:posOffset>
            </wp:positionV>
            <wp:extent cx="1335405" cy="1524000"/>
            <wp:effectExtent l="0" t="0" r="0" b="0"/>
            <wp:wrapTopAndBottom/>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1335405" cy="1524000"/>
                    </a:xfrm>
                    <a:prstGeom prst="rect">
                      <a:avLst/>
                    </a:prstGeom>
                    <a:noFill/>
                  </pic:spPr>
                </pic:pic>
              </a:graphicData>
            </a:graphic>
          </wp:anchor>
        </w:drawing>
      </w:r>
      <w:r>
        <w:rPr>
          <w:rFonts w:cs="微软雅黑"/>
          <w:sz w:val="24"/>
          <w:szCs w:val="21"/>
          <w:highlight w:val="none"/>
        </w:rPr>
        <w:t>图</w:t>
      </w:r>
      <w:r>
        <w:rPr>
          <w:rFonts w:hint="eastAsia" w:cs="微软雅黑"/>
          <w:sz w:val="24"/>
          <w:szCs w:val="21"/>
          <w:highlight w:val="none"/>
          <w:lang w:val="en-US" w:eastAsia="zh-CN"/>
        </w:rPr>
        <w:t>2</w:t>
      </w:r>
      <w:r>
        <w:rPr>
          <w:rFonts w:cs="微软雅黑"/>
          <w:sz w:val="24"/>
          <w:szCs w:val="21"/>
          <w:highlight w:val="none"/>
        </w:rPr>
        <w:t>.2 环保旗帜示意图</w:t>
      </w:r>
    </w:p>
    <w:p>
      <w:pPr>
        <w:pStyle w:val="30"/>
        <w:numPr>
          <w:ilvl w:val="0"/>
          <w:numId w:val="69"/>
        </w:numPr>
        <w:rPr>
          <w:highlight w:val="none"/>
        </w:rPr>
      </w:pPr>
      <w:r>
        <w:rPr>
          <w:rFonts w:hint="eastAsia"/>
          <w:highlight w:val="none"/>
          <w:lang w:val="en-US" w:eastAsia="zh-CN"/>
        </w:rPr>
        <w:t>旗帜道具须</w:t>
      </w:r>
      <w:r>
        <w:rPr>
          <w:highlight w:val="none"/>
        </w:rPr>
        <w:t>由旗面和旗杆组成</w:t>
      </w:r>
      <w:r>
        <w:rPr>
          <w:rFonts w:hint="eastAsia"/>
          <w:highlight w:val="none"/>
          <w:lang w:eastAsia="zh-CN"/>
        </w:rPr>
        <w:t>，</w:t>
      </w:r>
      <w:r>
        <w:rPr>
          <w:rFonts w:hint="eastAsia"/>
          <w:highlight w:val="none"/>
          <w:lang w:val="en-US" w:eastAsia="zh-CN"/>
        </w:rPr>
        <w:t>可含底座，底座与旗杆不可分离</w:t>
      </w:r>
      <w:r>
        <w:rPr>
          <w:highlight w:val="none"/>
        </w:rPr>
        <w:t>。</w:t>
      </w:r>
    </w:p>
    <w:p>
      <w:pPr>
        <w:pStyle w:val="30"/>
        <w:numPr>
          <w:ilvl w:val="0"/>
          <w:numId w:val="69"/>
        </w:numPr>
        <w:rPr>
          <w:highlight w:val="none"/>
        </w:rPr>
      </w:pPr>
      <w:r>
        <w:rPr>
          <w:highlight w:val="none"/>
        </w:rPr>
        <w:t>旗面材料</w:t>
      </w:r>
      <w:r>
        <w:rPr>
          <w:rFonts w:hint="eastAsia"/>
          <w:highlight w:val="none"/>
          <w:lang w:val="en-US" w:eastAsia="zh-CN"/>
        </w:rPr>
        <w:t>为布面、纸质或其它柔性材料</w:t>
      </w:r>
      <w:r>
        <w:rPr>
          <w:highlight w:val="none"/>
        </w:rPr>
        <w:t>，比赛过程中必须处于展开状态</w:t>
      </w:r>
      <w:r>
        <w:rPr>
          <w:rFonts w:hint="eastAsia"/>
          <w:highlight w:val="none"/>
          <w:lang w:eastAsia="zh-CN"/>
        </w:rPr>
        <w:t>。</w:t>
      </w:r>
    </w:p>
    <w:p>
      <w:pPr>
        <w:pStyle w:val="30"/>
        <w:numPr>
          <w:ilvl w:val="0"/>
          <w:numId w:val="69"/>
        </w:numPr>
        <w:rPr>
          <w:highlight w:val="none"/>
        </w:rPr>
      </w:pPr>
      <w:r>
        <w:rPr>
          <w:rFonts w:hint="eastAsia"/>
          <w:highlight w:val="none"/>
          <w:lang w:val="en-US" w:eastAsia="zh-CN"/>
        </w:rPr>
        <w:t>旗面</w:t>
      </w:r>
      <w:r>
        <w:rPr>
          <w:highlight w:val="none"/>
        </w:rPr>
        <w:t>尺寸不小于</w:t>
      </w:r>
      <w:r>
        <w:rPr>
          <w:rFonts w:ascii="思源黑体 CN Normal" w:hAnsi="思源黑体 CN Normal" w:eastAsia="思源黑体 CN Normal" w:cs="Times New Roman"/>
        </w:rPr>
        <w:t>80mm（长）*60mm（宽）</w:t>
      </w:r>
      <w:r>
        <w:rPr>
          <w:rFonts w:hint="eastAsia"/>
          <w:highlight w:val="none"/>
          <w:lang w:eastAsia="zh-CN"/>
        </w:rPr>
        <w:t>。</w:t>
      </w:r>
    </w:p>
    <w:p>
      <w:pPr>
        <w:pStyle w:val="30"/>
        <w:numPr>
          <w:ilvl w:val="0"/>
          <w:numId w:val="69"/>
        </w:numPr>
        <w:rPr>
          <w:highlight w:val="none"/>
        </w:rPr>
      </w:pPr>
      <w:r>
        <w:rPr>
          <w:rFonts w:hint="eastAsia"/>
          <w:highlight w:val="none"/>
          <w:lang w:val="en-US" w:eastAsia="zh-CN"/>
        </w:rPr>
        <w:t>旗杆及底座形状不限，底面的垂直投影须</w:t>
      </w:r>
      <w:r>
        <w:rPr>
          <w:highlight w:val="none"/>
        </w:rPr>
        <w:t>小于</w:t>
      </w:r>
      <w:r>
        <w:rPr>
          <w:rFonts w:hint="eastAsia"/>
          <w:highlight w:val="none"/>
          <w:lang w:val="en-US" w:eastAsia="zh-CN"/>
        </w:rPr>
        <w:t>30mm</w:t>
      </w:r>
      <w:r>
        <w:rPr>
          <w:highlight w:val="none"/>
        </w:rPr>
        <w:t>*</w:t>
      </w:r>
      <w:r>
        <w:rPr>
          <w:rFonts w:hint="eastAsia"/>
          <w:highlight w:val="none"/>
          <w:lang w:val="en-US" w:eastAsia="zh-CN"/>
        </w:rPr>
        <w:t>30mm，</w:t>
      </w:r>
      <w:r>
        <w:rPr>
          <w:highlight w:val="none"/>
        </w:rPr>
        <w:t>长度不小于100mm</w:t>
      </w:r>
      <w:r>
        <w:rPr>
          <w:rFonts w:hint="eastAsia"/>
          <w:highlight w:val="none"/>
          <w:lang w:eastAsia="zh-CN"/>
        </w:rPr>
        <w:t>。</w:t>
      </w:r>
    </w:p>
    <w:p>
      <w:pPr>
        <w:pStyle w:val="30"/>
        <w:numPr>
          <w:ilvl w:val="0"/>
          <w:numId w:val="69"/>
        </w:numPr>
        <w:rPr>
          <w:highlight w:val="none"/>
        </w:rPr>
      </w:pPr>
      <w:r>
        <w:rPr>
          <w:highlight w:val="none"/>
        </w:rPr>
        <w:t>旗帜</w:t>
      </w:r>
      <w:r>
        <w:rPr>
          <w:rFonts w:hint="eastAsia"/>
          <w:highlight w:val="none"/>
        </w:rPr>
        <w:t>任意时刻都符合规则要求方</w:t>
      </w:r>
      <w:r>
        <w:rPr>
          <w:highlight w:val="none"/>
        </w:rPr>
        <w:t>可</w:t>
      </w:r>
      <w:r>
        <w:rPr>
          <w:rFonts w:hint="eastAsia"/>
          <w:highlight w:val="none"/>
        </w:rPr>
        <w:t>参赛</w:t>
      </w:r>
      <w:r>
        <w:rPr>
          <w:highlight w:val="none"/>
        </w:rPr>
        <w:t>。</w:t>
      </w:r>
    </w:p>
    <w:p>
      <w:pPr>
        <w:pStyle w:val="30"/>
        <w:numPr>
          <w:ilvl w:val="0"/>
          <w:numId w:val="69"/>
        </w:numPr>
        <w:rPr>
          <w:highlight w:val="none"/>
        </w:rPr>
      </w:pPr>
      <w:r>
        <w:rPr>
          <w:highlight w:val="none"/>
        </w:rPr>
        <w:t>每支队伍</w:t>
      </w:r>
      <w:r>
        <w:rPr>
          <w:rFonts w:hint="eastAsia"/>
          <w:highlight w:val="none"/>
        </w:rPr>
        <w:t>仅</w:t>
      </w:r>
      <w:r>
        <w:rPr>
          <w:highlight w:val="none"/>
        </w:rPr>
        <w:t>可使用</w:t>
      </w:r>
      <w:r>
        <w:rPr>
          <w:rFonts w:hint="eastAsia"/>
          <w:highlight w:val="none"/>
        </w:rPr>
        <w:t>1</w:t>
      </w:r>
      <w:r>
        <w:rPr>
          <w:highlight w:val="none"/>
        </w:rPr>
        <w:t>面旗帜。</w:t>
      </w:r>
    </w:p>
    <w:p>
      <w:pPr>
        <w:pStyle w:val="30"/>
        <w:numPr>
          <w:ilvl w:val="0"/>
          <w:numId w:val="69"/>
        </w:numPr>
        <w:rPr>
          <w:rFonts w:cs="微软雅黑"/>
          <w:color w:val="000000" w:themeColor="text1"/>
          <w:sz w:val="24"/>
          <w:szCs w:val="21"/>
          <w14:textFill>
            <w14:solidFill>
              <w14:schemeClr w14:val="tx1"/>
            </w14:solidFill>
          </w14:textFill>
        </w:rPr>
      </w:pPr>
      <w:r>
        <w:rPr>
          <w:rFonts w:hint="eastAsia"/>
          <w:highlight w:val="none"/>
        </w:rPr>
        <w:t>组委会</w:t>
      </w:r>
      <w:r>
        <w:rPr>
          <w:highlight w:val="none"/>
        </w:rPr>
        <w:t>鼓励参赛队在旗帜上绘制个性化的图案或文字，但是须积极向上、能够体现赛事精神、</w:t>
      </w:r>
      <w:r>
        <w:rPr>
          <w:rFonts w:hint="eastAsia"/>
          <w:highlight w:val="none"/>
        </w:rPr>
        <w:t>并</w:t>
      </w:r>
      <w:r>
        <w:rPr>
          <w:highlight w:val="none"/>
        </w:rPr>
        <w:t>不得出现</w:t>
      </w:r>
      <w:r>
        <w:rPr>
          <w:rFonts w:hint="eastAsia"/>
          <w:highlight w:val="none"/>
        </w:rPr>
        <w:t>“MakeX机器人挑战赛</w:t>
      </w:r>
      <w:r>
        <w:rPr>
          <w:highlight w:val="none"/>
        </w:rPr>
        <w:t>组委会</w:t>
      </w:r>
      <w:r>
        <w:rPr>
          <w:rFonts w:hint="eastAsia"/>
          <w:highlight w:val="none"/>
        </w:rPr>
        <w:t>”</w:t>
      </w:r>
      <w:r>
        <w:rPr>
          <w:highlight w:val="none"/>
        </w:rPr>
        <w:t>相关字样与图片。</w:t>
      </w:r>
    </w:p>
    <w:p>
      <w:pPr>
        <w:pStyle w:val="36"/>
        <w:spacing w:line="240" w:lineRule="auto"/>
      </w:pPr>
      <w:bookmarkStart w:id="13" w:name="_Toc13910"/>
      <w:r>
        <w:rPr>
          <w:rFonts w:hint="eastAsia"/>
        </w:rPr>
        <w:t>比赛规则</w:t>
      </w:r>
      <w:bookmarkEnd w:id="13"/>
    </w:p>
    <w:p>
      <w:pPr>
        <w:pStyle w:val="33"/>
      </w:pPr>
      <w:bookmarkStart w:id="14" w:name="_Toc16845"/>
      <w:r>
        <w:t>判罚说明</w:t>
      </w:r>
      <w:bookmarkEnd w:id="14"/>
    </w:p>
    <w:p>
      <w:pPr>
        <w:pStyle w:val="63"/>
      </w:pPr>
      <w:r>
        <w:rPr>
          <w:rFonts w:hint="eastAsia"/>
        </w:rPr>
        <w:t>口头警告</w:t>
      </w:r>
    </w:p>
    <w:p>
      <w:pPr>
        <w:pStyle w:val="96"/>
        <w:ind w:firstLine="480"/>
      </w:pPr>
      <w:r>
        <w:t>裁判对参赛</w:t>
      </w:r>
      <w:r>
        <w:rPr>
          <w:rFonts w:hint="eastAsia"/>
        </w:rPr>
        <w:t>联盟任一战队的第一次违例</w:t>
      </w:r>
      <w:r>
        <w:t>发出口头警告，要求参赛战队立即停止违反规则</w:t>
      </w:r>
      <w:r>
        <w:rPr>
          <w:rFonts w:hint="eastAsia"/>
        </w:rPr>
        <w:t>的行为</w:t>
      </w:r>
      <w:r>
        <w:t>并服从裁判指示。</w:t>
      </w:r>
      <w:r>
        <w:rPr>
          <w:rFonts w:hint="eastAsia"/>
        </w:rPr>
        <w:t>（单场比赛仅有一次被口头警告的机会）</w:t>
      </w:r>
      <w:r>
        <w:t>在此期间，不会扣分，比赛计时也不会停止。</w:t>
      </w:r>
    </w:p>
    <w:p>
      <w:pPr>
        <w:pStyle w:val="63"/>
      </w:pPr>
      <w:r>
        <w:rPr>
          <w:rFonts w:hint="eastAsia"/>
        </w:rPr>
        <w:t>违例</w:t>
      </w:r>
    </w:p>
    <w:p>
      <w:pPr>
        <w:pStyle w:val="96"/>
        <w:ind w:firstLine="480"/>
      </w:pPr>
      <w:r>
        <w:rPr>
          <w:highlight w:val="none"/>
        </w:rPr>
        <w:t>裁判对</w:t>
      </w:r>
      <w:r>
        <w:rPr>
          <w:rFonts w:hint="eastAsia"/>
          <w:highlight w:val="none"/>
          <w:lang w:val="en-US" w:eastAsia="zh-CN"/>
        </w:rPr>
        <w:t>违规</w:t>
      </w:r>
      <w:r>
        <w:rPr>
          <w:rFonts w:hint="eastAsia"/>
          <w:highlight w:val="none"/>
        </w:rPr>
        <w:t>方</w:t>
      </w:r>
      <w:r>
        <w:rPr>
          <w:highlight w:val="none"/>
        </w:rPr>
        <w:t>发出违例判罚，立即</w:t>
      </w:r>
      <w:r>
        <w:t>扣除</w:t>
      </w:r>
      <w:r>
        <w:rPr>
          <w:rFonts w:hint="eastAsia"/>
          <w:lang w:val="en-US" w:eastAsia="zh-CN"/>
        </w:rPr>
        <w:t>违规</w:t>
      </w:r>
      <w:r>
        <w:rPr>
          <w:rFonts w:hint="eastAsia"/>
        </w:rPr>
        <w:t>方</w:t>
      </w:r>
      <w:r>
        <w:t>20分。比赛计时不会停止。</w:t>
      </w:r>
    </w:p>
    <w:p>
      <w:pPr>
        <w:pStyle w:val="63"/>
      </w:pPr>
      <w:r>
        <w:rPr>
          <w:rFonts w:hint="eastAsia"/>
        </w:rPr>
        <w:t>黄牌</w:t>
      </w:r>
    </w:p>
    <w:p>
      <w:pPr>
        <w:pStyle w:val="96"/>
        <w:ind w:firstLine="480"/>
      </w:pPr>
      <w:r>
        <w:rPr>
          <w:rStyle w:val="99"/>
        </w:rPr>
        <w:t>若某方相关人员的行为对当场比赛的公平性造成较为严重影响或违反</w:t>
      </w:r>
      <w:r>
        <w:t>安全原则，该</w:t>
      </w:r>
      <w:r>
        <w:rPr>
          <w:rFonts w:hint="eastAsia"/>
          <w:lang w:val="en-US" w:eastAsia="zh-CN"/>
        </w:rPr>
        <w:t>战队或联盟</w:t>
      </w:r>
      <w:r>
        <w:t>将受到扣除当场得分60分的处罚。</w:t>
      </w:r>
    </w:p>
    <w:p>
      <w:pPr>
        <w:pStyle w:val="30"/>
      </w:pPr>
      <w:r>
        <w:rPr>
          <w:rFonts w:hint="eastAsia"/>
        </w:rPr>
        <w:t>黄牌处罚累计说明：</w:t>
      </w:r>
    </w:p>
    <w:p>
      <w:pPr>
        <w:pStyle w:val="30"/>
      </w:pPr>
      <w:r>
        <w:rPr>
          <w:rFonts w:hint="eastAsia"/>
        </w:rPr>
        <w:t>某战队</w:t>
      </w:r>
      <w:r>
        <w:rPr>
          <w:rFonts w:hint="eastAsia"/>
          <w:lang w:val="en-US" w:eastAsia="zh-CN"/>
        </w:rPr>
        <w:t>或联盟</w:t>
      </w:r>
      <w:r>
        <w:rPr>
          <w:rFonts w:hint="eastAsia"/>
        </w:rPr>
        <w:t>收到黄牌后，扣除当场比赛该战队</w:t>
      </w:r>
      <w:r>
        <w:rPr>
          <w:rFonts w:hint="eastAsia"/>
          <w:lang w:val="en-US" w:eastAsia="zh-CN"/>
        </w:rPr>
        <w:t>或该联盟</w:t>
      </w:r>
      <w:r>
        <w:t>60分。</w:t>
      </w:r>
    </w:p>
    <w:p>
      <w:pPr>
        <w:pStyle w:val="30"/>
      </w:pPr>
      <w:r>
        <w:rPr>
          <w:rFonts w:hint="eastAsia"/>
          <w:lang w:val="en-US" w:eastAsia="zh-CN"/>
        </w:rPr>
        <w:t>单场比赛中，</w:t>
      </w:r>
      <w:r>
        <w:rPr>
          <w:rFonts w:hint="eastAsia"/>
        </w:rPr>
        <w:t>累计</w:t>
      </w:r>
      <w:r>
        <w:rPr>
          <w:rFonts w:hint="eastAsia"/>
          <w:lang w:val="en-US" w:eastAsia="zh-CN"/>
        </w:rPr>
        <w:t>2</w:t>
      </w:r>
      <w:r>
        <w:rPr>
          <w:rFonts w:hint="eastAsia"/>
        </w:rPr>
        <w:t>张黄牌处罚升级为</w:t>
      </w:r>
      <w:r>
        <w:rPr>
          <w:rFonts w:hint="eastAsia"/>
          <w:lang w:val="en-US" w:eastAsia="zh-CN"/>
        </w:rPr>
        <w:t>1张</w:t>
      </w:r>
      <w:r>
        <w:rPr>
          <w:rFonts w:hint="eastAsia"/>
        </w:rPr>
        <w:t>红牌</w:t>
      </w:r>
      <w:r>
        <w:rPr>
          <w:rFonts w:hint="eastAsia"/>
          <w:lang w:eastAsia="zh-CN"/>
        </w:rPr>
        <w:t>，</w:t>
      </w:r>
      <w:r>
        <w:rPr>
          <w:rFonts w:hint="eastAsia"/>
          <w:lang w:val="en-US" w:eastAsia="zh-CN"/>
        </w:rPr>
        <w:t>违规方机器人将被禁用</w:t>
      </w:r>
      <w:r>
        <w:rPr>
          <w:rFonts w:hint="eastAsia"/>
        </w:rPr>
        <w:t>。</w:t>
      </w:r>
    </w:p>
    <w:p>
      <w:pPr>
        <w:pStyle w:val="30"/>
        <w:rPr>
          <w:rFonts w:hint="eastAsia"/>
        </w:rPr>
      </w:pPr>
      <w:r>
        <w:rPr>
          <w:rFonts w:hint="eastAsia"/>
        </w:rPr>
        <w:t>资格排位赛阶段，黄牌以战队为单位累计，淘汰赛阶段，黄牌以联盟为单位累计。</w:t>
      </w:r>
    </w:p>
    <w:p>
      <w:pPr>
        <w:pStyle w:val="63"/>
      </w:pPr>
      <w:r>
        <w:rPr>
          <w:rFonts w:hint="eastAsia"/>
        </w:rPr>
        <w:t>禁用</w:t>
      </w:r>
    </w:p>
    <w:p>
      <w:pPr>
        <w:pStyle w:val="96"/>
        <w:ind w:firstLine="480"/>
        <w:rPr>
          <w:rFonts w:hint="eastAsia"/>
        </w:rPr>
      </w:pPr>
      <w:r>
        <w:t>裁判对</w:t>
      </w:r>
      <w:r>
        <w:rPr>
          <w:rFonts w:hint="eastAsia"/>
        </w:rPr>
        <w:t>参赛战队</w:t>
      </w:r>
      <w:r>
        <w:t>发出禁用指令，要求该</w:t>
      </w:r>
      <w:r>
        <w:rPr>
          <w:rFonts w:hint="eastAsia"/>
        </w:rPr>
        <w:t>参赛战队</w:t>
      </w:r>
      <w:r>
        <w:t>机器人立刻停止行动。裁判有权根据实际情况判断是否要将被禁用的机器人移出场外。在机器人故障、失控等情况发生时，参赛队员亦可以主动向裁判提出禁用机器人。</w:t>
      </w:r>
    </w:p>
    <w:p>
      <w:pPr>
        <w:pStyle w:val="63"/>
      </w:pPr>
      <w:r>
        <w:rPr>
          <w:rFonts w:hint="eastAsia"/>
        </w:rPr>
        <w:t>红牌</w:t>
      </w:r>
    </w:p>
    <w:p>
      <w:pPr>
        <w:pStyle w:val="96"/>
        <w:ind w:firstLine="480"/>
      </w:pPr>
      <w:r>
        <w:t>若某方或相关人员的行为对当场比赛的公平性造成严重影响或严重违反安全原则的行为，相应联盟将受到扣除120分的处罚，同时</w:t>
      </w:r>
      <w:r>
        <w:rPr>
          <w:rFonts w:hint="eastAsia"/>
          <w:lang w:val="en-US" w:eastAsia="zh-CN"/>
        </w:rPr>
        <w:t>违规</w:t>
      </w:r>
      <w:r>
        <w:rPr>
          <w:rFonts w:hint="eastAsia"/>
        </w:rPr>
        <w:t>战队的</w:t>
      </w:r>
      <w:r>
        <w:t>机器人将被禁用。裁判有权根据实际情况判断是否要将被禁用的机器人移出场外。</w:t>
      </w:r>
    </w:p>
    <w:p>
      <w:pPr>
        <w:pStyle w:val="30"/>
      </w:pPr>
      <w:r>
        <w:rPr>
          <w:rFonts w:hint="eastAsia"/>
        </w:rPr>
        <w:t>红牌处罚说明：</w:t>
      </w:r>
    </w:p>
    <w:p>
      <w:pPr>
        <w:pStyle w:val="30"/>
      </w:pPr>
      <w:r>
        <w:rPr>
          <w:rFonts w:hint="eastAsia"/>
        </w:rPr>
        <w:t>资格排位赛：以战队为单位，联盟中某战队受到红牌处罚，此战队扣除</w:t>
      </w:r>
      <w:r>
        <w:t>120分</w:t>
      </w:r>
      <w:r>
        <w:rPr>
          <w:rFonts w:hint="eastAsia"/>
          <w:lang w:val="en-US" w:eastAsia="zh-CN"/>
        </w:rPr>
        <w:t>并且该战队</w:t>
      </w:r>
      <w:r>
        <w:rPr>
          <w:rFonts w:hint="eastAsia"/>
        </w:rPr>
        <w:t>机器人禁用</w:t>
      </w:r>
      <w:r>
        <w:t>，比赛继续。联盟两支战队同时获得红牌处罚，该联盟扣分后直接判负。（</w:t>
      </w:r>
      <w:bookmarkStart w:id="15" w:name="_Hlk91601404"/>
      <w:r>
        <w:rPr>
          <w:rFonts w:hint="eastAsia"/>
        </w:rPr>
        <w:t>若判负方分数高于</w:t>
      </w:r>
      <w:r>
        <w:t>获胜方</w:t>
      </w:r>
      <w:r>
        <w:rPr>
          <w:rFonts w:hint="eastAsia"/>
        </w:rPr>
        <w:t>，则获胜方</w:t>
      </w:r>
      <w:r>
        <w:t>增加分数高于判负方10分</w:t>
      </w:r>
      <w:r>
        <w:rPr>
          <w:rFonts w:hint="eastAsia"/>
        </w:rPr>
        <w:t>结束比赛</w:t>
      </w:r>
      <w:bookmarkEnd w:id="15"/>
      <w:r>
        <w:t>）</w:t>
      </w:r>
    </w:p>
    <w:p>
      <w:pPr>
        <w:pStyle w:val="30"/>
      </w:pPr>
      <w:r>
        <w:rPr>
          <w:rFonts w:hint="eastAsia"/>
        </w:rPr>
        <w:t>淘汰赛阶段：以联盟为单位，某联盟受到红牌处罚，该场比赛直接判负。（若判负方分数高于获胜方，则获胜方增加分数高于判负方</w:t>
      </w:r>
      <w:r>
        <w:t>10分结束比赛）</w:t>
      </w:r>
    </w:p>
    <w:p>
      <w:pPr>
        <w:pStyle w:val="63"/>
      </w:pPr>
      <w:r>
        <w:rPr>
          <w:rFonts w:hint="eastAsia"/>
        </w:rPr>
        <w:t>取消</w:t>
      </w:r>
      <w:r>
        <w:rPr>
          <w:rFonts w:hint="eastAsia"/>
          <w:lang w:val="en-US" w:eastAsia="zh-CN"/>
        </w:rPr>
        <w:t>本场</w:t>
      </w:r>
      <w:r>
        <w:rPr>
          <w:rFonts w:hint="eastAsia"/>
        </w:rPr>
        <w:t>比赛资格</w:t>
      </w:r>
    </w:p>
    <w:p>
      <w:pPr>
        <w:pStyle w:val="96"/>
        <w:ind w:firstLine="480"/>
        <w:rPr>
          <w:rFonts w:hint="eastAsia"/>
        </w:rPr>
      </w:pPr>
      <w:r>
        <w:t>裁判取消参赛</w:t>
      </w:r>
      <w:r>
        <w:rPr>
          <w:rFonts w:hint="eastAsia"/>
        </w:rPr>
        <w:t>战</w:t>
      </w:r>
      <w:r>
        <w:t>队的比赛资格</w:t>
      </w:r>
      <w:r>
        <w:rPr>
          <w:rFonts w:hint="eastAsia"/>
        </w:rPr>
        <w:t>，该</w:t>
      </w:r>
      <w:r>
        <w:t>战队的机器人立即被禁用</w:t>
      </w:r>
      <w:r>
        <w:rPr>
          <w:rFonts w:hint="eastAsia"/>
        </w:rPr>
        <w:t>，该</w:t>
      </w:r>
      <w:r>
        <w:t>战队不得继续参与</w:t>
      </w:r>
      <w:r>
        <w:rPr>
          <w:rFonts w:hint="eastAsia"/>
          <w:lang w:val="en-US" w:eastAsia="zh-CN"/>
        </w:rPr>
        <w:t>本场</w:t>
      </w:r>
      <w:r>
        <w:t>比赛</w:t>
      </w:r>
      <w:r>
        <w:rPr>
          <w:rFonts w:hint="eastAsia"/>
          <w:lang w:val="en-US" w:eastAsia="zh-CN"/>
        </w:rPr>
        <w:t>，本场比赛成绩作废，但不影响其他场次比赛</w:t>
      </w:r>
      <w:r>
        <w:t>。</w:t>
      </w:r>
    </w:p>
    <w:p>
      <w:pPr>
        <w:pStyle w:val="63"/>
      </w:pPr>
      <w:r>
        <w:rPr>
          <w:rFonts w:hint="eastAsia"/>
          <w:lang w:val="en-US" w:eastAsia="zh-CN"/>
        </w:rPr>
        <w:t>取消全场</w:t>
      </w:r>
      <w:r>
        <w:rPr>
          <w:rFonts w:hint="eastAsia"/>
        </w:rPr>
        <w:t>比赛资格</w:t>
      </w:r>
    </w:p>
    <w:p>
      <w:pPr>
        <w:pStyle w:val="96"/>
        <w:ind w:firstLine="480"/>
      </w:pPr>
      <w:r>
        <w:t>裁判取消参赛</w:t>
      </w:r>
      <w:r>
        <w:rPr>
          <w:rFonts w:hint="eastAsia"/>
        </w:rPr>
        <w:t>战</w:t>
      </w:r>
      <w:r>
        <w:t>队的比赛资格</w:t>
      </w:r>
      <w:r>
        <w:rPr>
          <w:rFonts w:hint="eastAsia"/>
        </w:rPr>
        <w:t>，该</w:t>
      </w:r>
      <w:r>
        <w:t>战队的机器人立即被禁用</w:t>
      </w:r>
      <w:r>
        <w:rPr>
          <w:rFonts w:hint="eastAsia"/>
        </w:rPr>
        <w:t>，该</w:t>
      </w:r>
      <w:r>
        <w:t>战队不得继续参与该场比赛或下一场比赛</w:t>
      </w:r>
      <w:r>
        <w:rPr>
          <w:rFonts w:hint="eastAsia"/>
          <w:lang w:eastAsia="zh-CN"/>
        </w:rPr>
        <w:t>，所有场次比赛成绩作废，该战队将失去继续参加本次比赛的机会和评奖资格。</w:t>
      </w:r>
    </w:p>
    <w:p>
      <w:pPr>
        <w:pStyle w:val="33"/>
      </w:pPr>
      <w:bookmarkStart w:id="16" w:name="_Toc6608"/>
      <w:r>
        <w:t>操作规则</w:t>
      </w:r>
      <w:bookmarkEnd w:id="16"/>
    </w:p>
    <w:p>
      <w:pPr>
        <w:pStyle w:val="63"/>
      </w:pPr>
      <w:r>
        <w:rPr>
          <w:rFonts w:hint="eastAsia"/>
        </w:rPr>
        <w:t>破坏或污染场地</w:t>
      </w:r>
      <w:r>
        <w:t xml:space="preserve"> </w:t>
      </w:r>
    </w:p>
    <w:p>
      <w:pPr>
        <w:pStyle w:val="90"/>
        <w:ind w:firstLine="480"/>
      </w:pPr>
      <w:r>
        <w:t>比赛期间，机器人不得恶意</w:t>
      </w:r>
      <w:r>
        <w:rPr>
          <w:rFonts w:hint="eastAsia"/>
        </w:rPr>
        <w:t>“攀爬”</w:t>
      </w:r>
      <w:r>
        <w:t>或</w:t>
      </w:r>
      <w:r>
        <w:rPr>
          <w:rFonts w:hint="eastAsia"/>
        </w:rPr>
        <w:t>“冲撞”</w:t>
      </w:r>
      <w:r>
        <w:t xml:space="preserve">场地边界和中央隔栏。 </w:t>
      </w:r>
    </w:p>
    <w:p>
      <w:pPr>
        <w:pStyle w:val="30"/>
        <w:numPr>
          <w:ilvl w:val="0"/>
          <w:numId w:val="69"/>
        </w:numPr>
      </w:pPr>
      <w:r>
        <w:rPr>
          <w:rFonts w:hint="eastAsia"/>
          <w:lang w:val="en-US" w:eastAsia="zh-CN"/>
        </w:rPr>
        <w:t>违规</w:t>
      </w:r>
      <w:r>
        <w:rPr>
          <w:rFonts w:hint="eastAsia"/>
        </w:rPr>
        <w:t>方机器人将被判</w:t>
      </w:r>
      <w:r>
        <w:rPr>
          <w:rFonts w:hint="eastAsia"/>
          <w:lang w:val="en-US" w:eastAsia="zh-CN"/>
        </w:rPr>
        <w:t>本场</w:t>
      </w:r>
      <w:r>
        <w:rPr>
          <w:rFonts w:hint="eastAsia"/>
        </w:rPr>
        <w:t>比赛禁用，两次违规将被判取消</w:t>
      </w:r>
      <w:r>
        <w:rPr>
          <w:rFonts w:hint="eastAsia"/>
          <w:lang w:val="en-US" w:eastAsia="zh-CN"/>
        </w:rPr>
        <w:t>全场</w:t>
      </w:r>
      <w:r>
        <w:rPr>
          <w:rFonts w:hint="eastAsia"/>
        </w:rPr>
        <w:t>比赛资格</w:t>
      </w:r>
      <w:r>
        <w:t xml:space="preserve">。 </w:t>
      </w:r>
    </w:p>
    <w:p>
      <w:pPr>
        <w:pStyle w:val="90"/>
        <w:ind w:firstLine="480"/>
      </w:pPr>
      <w:r>
        <w:rPr>
          <w:rStyle w:val="91"/>
        </w:rPr>
        <w:t>若场地被机器人污染，则机器人将被判定为不安全状态。比赛全程中机器人</w:t>
      </w:r>
      <w:r>
        <w:t>不得使用双面胶或胶水等固着场地元素。</w:t>
      </w:r>
    </w:p>
    <w:p>
      <w:pPr>
        <w:pStyle w:val="30"/>
        <w:numPr>
          <w:ilvl w:val="0"/>
          <w:numId w:val="69"/>
        </w:numPr>
      </w:pPr>
      <w:r>
        <w:rPr>
          <w:rFonts w:hint="eastAsia"/>
          <w:lang w:val="en-US" w:eastAsia="zh-CN"/>
        </w:rPr>
        <w:t>违规</w:t>
      </w:r>
      <w:r>
        <w:rPr>
          <w:rFonts w:hint="eastAsia"/>
        </w:rPr>
        <w:t>方机器人将被判</w:t>
      </w:r>
      <w:r>
        <w:rPr>
          <w:rFonts w:hint="eastAsia"/>
          <w:lang w:val="en-US" w:eastAsia="zh-CN"/>
        </w:rPr>
        <w:t>本场</w:t>
      </w:r>
      <w:r>
        <w:rPr>
          <w:rFonts w:hint="eastAsia"/>
        </w:rPr>
        <w:t>比赛禁用，两次违规将被判取消</w:t>
      </w:r>
      <w:r>
        <w:rPr>
          <w:rFonts w:hint="eastAsia"/>
          <w:lang w:val="en-US" w:eastAsia="zh-CN"/>
        </w:rPr>
        <w:t>全场</w:t>
      </w:r>
      <w:r>
        <w:rPr>
          <w:rFonts w:hint="eastAsia"/>
        </w:rPr>
        <w:t>比赛资格</w:t>
      </w:r>
      <w:r>
        <w:t>。</w:t>
      </w:r>
    </w:p>
    <w:p>
      <w:pPr>
        <w:pStyle w:val="63"/>
      </w:pPr>
      <w:r>
        <w:rPr>
          <w:rFonts w:hint="eastAsia"/>
        </w:rPr>
        <w:t>破坏其它机器人</w:t>
      </w:r>
    </w:p>
    <w:p>
      <w:pPr>
        <w:pStyle w:val="90"/>
        <w:ind w:firstLine="480"/>
      </w:pPr>
      <w:r>
        <w:t>比赛期间，机器人不得冲撞比赛场地上的其他机器人。</w:t>
      </w:r>
    </w:p>
    <w:p>
      <w:pPr>
        <w:pStyle w:val="30"/>
        <w:numPr>
          <w:ilvl w:val="0"/>
          <w:numId w:val="69"/>
        </w:numPr>
      </w:pPr>
      <w:r>
        <w:rPr>
          <w:rFonts w:hint="eastAsia"/>
          <w:lang w:val="en-US" w:eastAsia="zh-CN"/>
        </w:rPr>
        <w:t>违规</w:t>
      </w:r>
      <w:r>
        <w:rPr>
          <w:rFonts w:hint="eastAsia"/>
        </w:rPr>
        <w:t>方机器人将被判</w:t>
      </w:r>
      <w:r>
        <w:rPr>
          <w:rFonts w:hint="eastAsia"/>
          <w:lang w:val="en-US" w:eastAsia="zh-CN"/>
        </w:rPr>
        <w:t>本场</w:t>
      </w:r>
      <w:r>
        <w:rPr>
          <w:rFonts w:hint="eastAsia"/>
        </w:rPr>
        <w:t>比赛禁用，两次违规将被判取消</w:t>
      </w:r>
      <w:r>
        <w:rPr>
          <w:rFonts w:hint="eastAsia"/>
          <w:lang w:val="en-US" w:eastAsia="zh-CN"/>
        </w:rPr>
        <w:t>全场</w:t>
      </w:r>
      <w:r>
        <w:rPr>
          <w:rFonts w:hint="eastAsia"/>
        </w:rPr>
        <w:t>比赛资格</w:t>
      </w:r>
      <w:r>
        <w:t>。</w:t>
      </w:r>
    </w:p>
    <w:p>
      <w:pPr>
        <w:pStyle w:val="63"/>
      </w:pPr>
      <w:r>
        <w:rPr>
          <w:rFonts w:hint="eastAsia"/>
        </w:rPr>
        <w:t>机器人出界</w:t>
      </w:r>
    </w:p>
    <w:p>
      <w:pPr>
        <w:pStyle w:val="90"/>
        <w:ind w:firstLine="480"/>
      </w:pPr>
      <w:r>
        <w:rPr>
          <w:rStyle w:val="91"/>
        </w:rPr>
        <w:t>比赛过程中，机器人的任何部分均不得超出场地边界。如果</w:t>
      </w:r>
      <w:r>
        <w:t>机器人出界，须在3秒之内返回本方区域，裁判将会进行口头读秒提醒。</w:t>
      </w:r>
    </w:p>
    <w:p>
      <w:pPr>
        <w:pStyle w:val="30"/>
        <w:numPr>
          <w:ilvl w:val="0"/>
          <w:numId w:val="69"/>
        </w:numPr>
      </w:pPr>
      <w:r>
        <w:t>未按时返回的战队将被判违例，</w:t>
      </w:r>
      <w:r>
        <w:rPr>
          <w:rFonts w:hint="eastAsia"/>
          <w:lang w:val="en-US" w:eastAsia="zh-CN"/>
        </w:rPr>
        <w:t>两次</w:t>
      </w:r>
      <w:r>
        <w:t>违规者将被判取消</w:t>
      </w:r>
      <w:r>
        <w:rPr>
          <w:rFonts w:hint="eastAsia"/>
          <w:lang w:val="en-US" w:eastAsia="zh-CN"/>
        </w:rPr>
        <w:t>本场</w:t>
      </w:r>
      <w:r>
        <w:t>比赛资格。</w:t>
      </w:r>
    </w:p>
    <w:p>
      <w:pPr>
        <w:pStyle w:val="63"/>
      </w:pPr>
      <w:r>
        <w:rPr>
          <w:rFonts w:hint="eastAsia"/>
        </w:rPr>
        <w:t>使用违规材料</w:t>
      </w:r>
    </w:p>
    <w:p>
      <w:pPr>
        <w:pStyle w:val="90"/>
        <w:ind w:firstLine="480"/>
      </w:pPr>
      <w:r>
        <w:t>严格禁止机器人使用危险的材料或具备危险的</w:t>
      </w:r>
      <w:r>
        <w:rPr>
          <w:rFonts w:hint="eastAsia"/>
        </w:rPr>
        <w:t>结构</w:t>
      </w:r>
      <w:r>
        <w:t>，例如：</w:t>
      </w:r>
    </w:p>
    <w:p>
      <w:pPr>
        <w:pStyle w:val="30"/>
        <w:ind w:firstLine="420"/>
      </w:pPr>
      <w:r>
        <w:rPr>
          <w:rFonts w:hint="eastAsia"/>
        </w:rPr>
        <w:t>（1）</w:t>
      </w:r>
      <w:r>
        <w:t>易燃气体、产生火或者烟的设备、液压油或液压件、含有液态汞（水银）的开关或触点；</w:t>
      </w:r>
    </w:p>
    <w:p>
      <w:pPr>
        <w:pStyle w:val="30"/>
        <w:ind w:firstLine="420"/>
      </w:pPr>
      <w:r>
        <w:rPr>
          <w:rFonts w:hint="eastAsia"/>
        </w:rPr>
        <w:t>（</w:t>
      </w:r>
      <w:r>
        <w:t>2</w:t>
      </w:r>
      <w:r>
        <w:rPr>
          <w:rFonts w:hint="eastAsia"/>
        </w:rPr>
        <w:t>）</w:t>
      </w:r>
      <w:r>
        <w:t>危险材料（如铅）；</w:t>
      </w:r>
    </w:p>
    <w:p>
      <w:pPr>
        <w:pStyle w:val="30"/>
        <w:ind w:firstLine="420"/>
      </w:pPr>
      <w:r>
        <w:rPr>
          <w:rFonts w:hint="eastAsia"/>
        </w:rPr>
        <w:t>（</w:t>
      </w:r>
      <w:r>
        <w:t>3</w:t>
      </w:r>
      <w:r>
        <w:rPr>
          <w:rFonts w:hint="eastAsia"/>
        </w:rPr>
        <w:t>）</w:t>
      </w:r>
      <w:r>
        <w:t>可能造成场地污染的材料，例如沙子等可能在比赛中散落的物体；</w:t>
      </w:r>
    </w:p>
    <w:p>
      <w:pPr>
        <w:pStyle w:val="30"/>
        <w:ind w:firstLine="420"/>
      </w:pPr>
      <w:r>
        <w:rPr>
          <w:rFonts w:hint="eastAsia"/>
        </w:rPr>
        <w:t>（</w:t>
      </w:r>
      <w:r>
        <w:t>4</w:t>
      </w:r>
      <w:r>
        <w:rPr>
          <w:rFonts w:hint="eastAsia"/>
        </w:rPr>
        <w:t>）</w:t>
      </w:r>
      <w:r>
        <w:t>可能造成机器人</w:t>
      </w:r>
      <w:r>
        <w:rPr>
          <w:rFonts w:hint="eastAsia"/>
        </w:rPr>
        <w:t>固定连接</w:t>
      </w:r>
      <w:r>
        <w:t>的材料；</w:t>
      </w:r>
    </w:p>
    <w:p>
      <w:pPr>
        <w:pStyle w:val="30"/>
        <w:ind w:firstLine="420"/>
      </w:pPr>
      <w:r>
        <w:rPr>
          <w:rFonts w:hint="eastAsia"/>
        </w:rPr>
        <w:t>（</w:t>
      </w:r>
      <w:r>
        <w:t>5</w:t>
      </w:r>
      <w:r>
        <w:rPr>
          <w:rFonts w:hint="eastAsia"/>
        </w:rPr>
        <w:t>）</w:t>
      </w:r>
      <w:r>
        <w:t>有锋利边角易造成伤害的材料；</w:t>
      </w:r>
    </w:p>
    <w:p>
      <w:pPr>
        <w:pStyle w:val="30"/>
        <w:ind w:firstLine="420"/>
      </w:pPr>
      <w:r>
        <w:rPr>
          <w:rFonts w:hint="eastAsia"/>
        </w:rPr>
        <w:t>（</w:t>
      </w:r>
      <w:r>
        <w:t>6</w:t>
      </w:r>
      <w:r>
        <w:rPr>
          <w:rFonts w:hint="eastAsia"/>
        </w:rPr>
        <w:t>）</w:t>
      </w:r>
      <w:r>
        <w:t>使用动物制成的材料（出于健康和法律考虑）；</w:t>
      </w:r>
    </w:p>
    <w:p>
      <w:pPr>
        <w:pStyle w:val="30"/>
        <w:ind w:firstLine="420"/>
      </w:pPr>
      <w:r>
        <w:rPr>
          <w:rFonts w:hint="eastAsia"/>
        </w:rPr>
        <w:t>（</w:t>
      </w:r>
      <w:r>
        <w:t>7</w:t>
      </w:r>
      <w:r>
        <w:rPr>
          <w:rFonts w:hint="eastAsia"/>
        </w:rPr>
        <w:t>）</w:t>
      </w:r>
      <w:r>
        <w:t>含有液体或胶状物的材料（按规定使用的胶水、润滑油除外）；</w:t>
      </w:r>
    </w:p>
    <w:p>
      <w:pPr>
        <w:pStyle w:val="30"/>
        <w:ind w:firstLine="420"/>
      </w:pPr>
      <w:r>
        <w:rPr>
          <w:rFonts w:hint="eastAsia"/>
        </w:rPr>
        <w:t>（</w:t>
      </w:r>
      <w:r>
        <w:t>8</w:t>
      </w:r>
      <w:r>
        <w:rPr>
          <w:rFonts w:hint="eastAsia"/>
        </w:rPr>
        <w:t>）</w:t>
      </w:r>
      <w:r>
        <w:t>可能将机器人上电流传导至场地上的任何零件；</w:t>
      </w:r>
    </w:p>
    <w:p>
      <w:pPr>
        <w:pStyle w:val="30"/>
        <w:numPr>
          <w:ilvl w:val="0"/>
          <w:numId w:val="70"/>
        </w:numPr>
      </w:pPr>
      <w:r>
        <w:rPr>
          <w:rFonts w:hint="eastAsia"/>
          <w:lang w:val="en-US" w:eastAsia="zh-CN"/>
        </w:rPr>
        <w:t>违规</w:t>
      </w:r>
      <w:r>
        <w:t>方机器人将被判禁用。如果机器人还要参加比赛，选手需要对机器人进行整改，并接受再次检查。两次违规将被判取消</w:t>
      </w:r>
      <w:r>
        <w:rPr>
          <w:rFonts w:hint="eastAsia"/>
          <w:lang w:val="en-US" w:eastAsia="zh-CN"/>
        </w:rPr>
        <w:t>全场</w:t>
      </w:r>
      <w:r>
        <w:t>比赛资格。</w:t>
      </w:r>
    </w:p>
    <w:p>
      <w:pPr>
        <w:pStyle w:val="63"/>
      </w:pPr>
      <w:r>
        <w:rPr>
          <w:rFonts w:hint="eastAsia"/>
        </w:rPr>
        <w:t>其他不安全因素</w:t>
      </w:r>
    </w:p>
    <w:p>
      <w:pPr>
        <w:pStyle w:val="90"/>
        <w:ind w:firstLine="480"/>
      </w:pPr>
      <w:r>
        <w:rPr>
          <w:rFonts w:hint="eastAsia"/>
        </w:rPr>
        <w:t>在R</w:t>
      </w:r>
      <w:r>
        <w:t>0</w:t>
      </w:r>
      <w:r>
        <w:rPr>
          <w:rFonts w:hint="eastAsia"/>
          <w:lang w:val="en-US" w:eastAsia="zh-CN"/>
        </w:rPr>
        <w:t>5</w:t>
      </w:r>
      <w:r>
        <w:rPr>
          <w:rFonts w:hint="eastAsia"/>
        </w:rPr>
        <w:t>.</w:t>
      </w:r>
      <w:r>
        <w:t>项目之外，裁判有权针对特定机器人是否安全进行单独判定。</w:t>
      </w:r>
    </w:p>
    <w:p>
      <w:pPr>
        <w:pStyle w:val="30"/>
        <w:numPr>
          <w:ilvl w:val="0"/>
          <w:numId w:val="69"/>
        </w:numPr>
      </w:pPr>
      <w:r>
        <w:rPr>
          <w:rFonts w:hint="eastAsia"/>
          <w:lang w:val="en-US" w:eastAsia="zh-CN"/>
        </w:rPr>
        <w:t>违规</w:t>
      </w:r>
      <w:r>
        <w:t>方机器人将被判禁用。如果机器人还要参加比赛，选手需要对机器人进行整改，并接受再次检查。两次违规将被判取消</w:t>
      </w:r>
      <w:r>
        <w:rPr>
          <w:rFonts w:hint="eastAsia"/>
          <w:lang w:val="en-US" w:eastAsia="zh-CN"/>
        </w:rPr>
        <w:t>全场</w:t>
      </w:r>
      <w:r>
        <w:t>比赛资格。</w:t>
      </w:r>
    </w:p>
    <w:p>
      <w:pPr>
        <w:pStyle w:val="63"/>
      </w:pPr>
      <w:r>
        <w:rPr>
          <w:rFonts w:hint="eastAsia"/>
        </w:rPr>
        <w:t>参赛队员要求</w:t>
      </w:r>
    </w:p>
    <w:p>
      <w:pPr>
        <w:pStyle w:val="90"/>
        <w:ind w:firstLine="480"/>
      </w:pPr>
      <w:r>
        <w:t>每个参赛战队派出1名操作手和1名观察手。每方联盟中包含2名操作手和2名观察手，选出其中</w:t>
      </w:r>
      <w:r>
        <w:rPr>
          <w:rFonts w:hint="eastAsia"/>
          <w:lang w:val="en-US" w:eastAsia="zh-CN"/>
        </w:rPr>
        <w:t>1</w:t>
      </w:r>
      <w:r>
        <w:t xml:space="preserve">人为联盟队长。 </w:t>
      </w:r>
    </w:p>
    <w:p>
      <w:pPr>
        <w:pStyle w:val="90"/>
        <w:ind w:firstLine="480"/>
      </w:pPr>
      <w:r>
        <w:t>在比赛过程中不允许场外第三人替换场上队员</w:t>
      </w:r>
      <w:r>
        <w:rPr>
          <w:rFonts w:hint="eastAsia"/>
          <w:lang w:eastAsia="zh-CN"/>
        </w:rPr>
        <w:t>。</w:t>
      </w:r>
      <w:r>
        <w:t>每场比赛由双方联盟操作手操控机器人完成任务</w:t>
      </w:r>
      <w:r>
        <w:rPr>
          <w:rFonts w:hint="eastAsia"/>
          <w:lang w:eastAsia="zh-CN"/>
        </w:rPr>
        <w:t>，</w:t>
      </w:r>
      <w:r>
        <w:t>本方操作手与观察手在比赛期间可自由交换角色。</w:t>
      </w:r>
    </w:p>
    <w:p>
      <w:pPr>
        <w:pStyle w:val="90"/>
        <w:ind w:firstLine="480"/>
      </w:pPr>
      <w:r>
        <w:t>在备赛、调试机器人、上场比赛等环节，留长发者应将头发扎起。参赛队员应穿不露出脚趾的鞋进入场地。</w:t>
      </w:r>
    </w:p>
    <w:p>
      <w:pPr>
        <w:pStyle w:val="30"/>
        <w:numPr>
          <w:ilvl w:val="0"/>
          <w:numId w:val="69"/>
        </w:numPr>
      </w:pPr>
      <w:r>
        <w:rPr>
          <w:rFonts w:hint="eastAsia"/>
          <w:lang w:val="en-US" w:eastAsia="zh-CN"/>
        </w:rPr>
        <w:t>违规</w:t>
      </w:r>
      <w:r>
        <w:rPr>
          <w:rFonts w:hint="eastAsia"/>
        </w:rPr>
        <w:t>方将被判</w:t>
      </w:r>
      <w:r>
        <w:rPr>
          <w:rFonts w:hint="eastAsia"/>
          <w:lang w:val="en-US" w:eastAsia="zh-CN"/>
        </w:rPr>
        <w:t>取消本场</w:t>
      </w:r>
      <w:r>
        <w:rPr>
          <w:rFonts w:hint="eastAsia"/>
        </w:rPr>
        <w:t>比赛</w:t>
      </w:r>
      <w:r>
        <w:rPr>
          <w:rFonts w:hint="eastAsia"/>
          <w:lang w:val="en-US" w:eastAsia="zh-CN"/>
        </w:rPr>
        <w:t>资格</w:t>
      </w:r>
      <w:r>
        <w:rPr>
          <w:rFonts w:hint="eastAsia"/>
        </w:rPr>
        <w:t>，</w:t>
      </w:r>
      <w:r>
        <w:t>选手需要进行整改，并接受再次检查。</w:t>
      </w:r>
      <w:r>
        <w:rPr>
          <w:rFonts w:hint="eastAsia"/>
        </w:rPr>
        <w:t>两次违规将被判取消</w:t>
      </w:r>
      <w:r>
        <w:rPr>
          <w:rFonts w:hint="eastAsia"/>
          <w:lang w:val="en-US" w:eastAsia="zh-CN"/>
        </w:rPr>
        <w:t>全场</w:t>
      </w:r>
      <w:r>
        <w:rPr>
          <w:rFonts w:hint="eastAsia"/>
        </w:rPr>
        <w:t>比赛资格</w:t>
      </w:r>
      <w:r>
        <w:t>。</w:t>
      </w:r>
    </w:p>
    <w:p>
      <w:pPr>
        <w:pStyle w:val="63"/>
        <w:rPr>
          <w:rFonts w:hint="default"/>
          <w:lang w:val="en-US" w:eastAsia="zh-CN"/>
        </w:rPr>
      </w:pPr>
      <w:r>
        <w:rPr>
          <w:rFonts w:hint="eastAsia"/>
          <w:lang w:val="en-US" w:eastAsia="zh-CN"/>
        </w:rPr>
        <w:t>未按时到达赛场</w:t>
      </w:r>
    </w:p>
    <w:p>
      <w:pPr>
        <w:pStyle w:val="90"/>
        <w:ind w:firstLine="480"/>
        <w:rPr>
          <w:highlight w:val="none"/>
        </w:rPr>
      </w:pPr>
      <w:r>
        <w:rPr>
          <w:rFonts w:hint="eastAsia"/>
          <w:highlight w:val="none"/>
        </w:rPr>
        <w:t>战队在实际比赛规定赛程中，超时5分钟以上未抵达赛场，视为该战队自愿放弃本场比赛资格，如整体赛程延迟，以现场通知时间为准。</w:t>
      </w:r>
    </w:p>
    <w:p>
      <w:pPr>
        <w:pStyle w:val="30"/>
        <w:numPr>
          <w:ilvl w:val="0"/>
          <w:numId w:val="69"/>
        </w:numPr>
        <w:rPr>
          <w:highlight w:val="none"/>
        </w:rPr>
      </w:pPr>
      <w:r>
        <w:rPr>
          <w:rFonts w:hint="eastAsia"/>
          <w:highlight w:val="none"/>
          <w:lang w:val="en-US" w:eastAsia="zh-CN"/>
        </w:rPr>
        <w:t>违规</w:t>
      </w:r>
      <w:r>
        <w:rPr>
          <w:rFonts w:hint="eastAsia"/>
          <w:highlight w:val="none"/>
        </w:rPr>
        <w:t>方将被判</w:t>
      </w:r>
      <w:r>
        <w:rPr>
          <w:rFonts w:hint="eastAsia"/>
          <w:highlight w:val="none"/>
          <w:lang w:val="en-US" w:eastAsia="zh-CN"/>
        </w:rPr>
        <w:t>取消本场</w:t>
      </w:r>
      <w:r>
        <w:rPr>
          <w:rFonts w:hint="eastAsia"/>
          <w:highlight w:val="none"/>
        </w:rPr>
        <w:t>比赛</w:t>
      </w:r>
      <w:r>
        <w:rPr>
          <w:rFonts w:hint="eastAsia"/>
          <w:highlight w:val="none"/>
          <w:lang w:val="en-US" w:eastAsia="zh-CN"/>
        </w:rPr>
        <w:t>资格</w:t>
      </w:r>
      <w:r>
        <w:rPr>
          <w:highlight w:val="none"/>
        </w:rPr>
        <w:t>。</w:t>
      </w:r>
    </w:p>
    <w:p>
      <w:pPr>
        <w:pStyle w:val="63"/>
      </w:pPr>
      <w:r>
        <w:rPr>
          <w:rFonts w:hint="eastAsia"/>
        </w:rPr>
        <w:t>参赛队员站位</w:t>
      </w:r>
    </w:p>
    <w:p>
      <w:pPr>
        <w:pStyle w:val="90"/>
        <w:ind w:firstLine="480"/>
      </w:pPr>
      <w:r>
        <w:t>比赛过程中，参赛队员仅可在己方半场的边框外侧活动（实际区域大小视比赛现场情况而定）。</w:t>
      </w:r>
    </w:p>
    <w:p>
      <w:pPr>
        <w:pStyle w:val="30"/>
        <w:numPr>
          <w:ilvl w:val="0"/>
          <w:numId w:val="69"/>
        </w:numPr>
      </w:pPr>
      <w:r>
        <w:rPr>
          <w:rFonts w:hint="eastAsia"/>
          <w:lang w:val="en-US" w:eastAsia="zh-CN"/>
        </w:rPr>
        <w:t>违规</w:t>
      </w:r>
      <w:r>
        <w:drawing>
          <wp:anchor distT="180340" distB="180340" distL="114300" distR="114300" simplePos="0" relativeHeight="251683840" behindDoc="0" locked="0" layoutInCell="1" allowOverlap="1">
            <wp:simplePos x="0" y="0"/>
            <wp:positionH relativeFrom="column">
              <wp:posOffset>-12700</wp:posOffset>
            </wp:positionH>
            <wp:positionV relativeFrom="paragraph">
              <wp:posOffset>809625</wp:posOffset>
            </wp:positionV>
            <wp:extent cx="5277485" cy="3484880"/>
            <wp:effectExtent l="0" t="0" r="0" b="1905"/>
            <wp:wrapTopAndBottom/>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277600" cy="3484800"/>
                    </a:xfrm>
                    <a:prstGeom prst="rect">
                      <a:avLst/>
                    </a:prstGeom>
                    <a:noFill/>
                  </pic:spPr>
                </pic:pic>
              </a:graphicData>
            </a:graphic>
          </wp:anchor>
        </w:drawing>
      </w:r>
      <w:r>
        <w:t>方将被判口头警告，两次违规将被判违例。情节恶劣者取消</w:t>
      </w:r>
      <w:r>
        <w:rPr>
          <w:rFonts w:hint="eastAsia"/>
          <w:lang w:val="en-US" w:eastAsia="zh-CN"/>
        </w:rPr>
        <w:t>本场</w:t>
      </w:r>
      <w:r>
        <w:t>比赛资格。</w:t>
      </w:r>
    </w:p>
    <w:p>
      <w:pPr>
        <w:widowControl/>
        <w:spacing w:line="240" w:lineRule="auto"/>
        <w:jc w:val="center"/>
      </w:pPr>
      <w:r>
        <w:rPr>
          <w:rFonts w:hint="eastAsia" w:cs="微软雅黑"/>
          <w:sz w:val="24"/>
          <w:szCs w:val="21"/>
        </w:rPr>
        <w:t>图</w:t>
      </w:r>
      <w:r>
        <w:rPr>
          <w:rFonts w:hint="eastAsia" w:cs="微软雅黑"/>
          <w:sz w:val="24"/>
          <w:szCs w:val="21"/>
          <w:lang w:val="en-US" w:eastAsia="zh-CN"/>
        </w:rPr>
        <w:t>2</w:t>
      </w:r>
      <w:bookmarkStart w:id="22" w:name="_GoBack"/>
      <w:bookmarkEnd w:id="22"/>
      <w:r>
        <w:rPr>
          <w:rFonts w:cs="微软雅黑"/>
          <w:sz w:val="24"/>
          <w:szCs w:val="21"/>
        </w:rPr>
        <w:t>.2 选手站位图</w:t>
      </w:r>
    </w:p>
    <w:p>
      <w:pPr>
        <w:pStyle w:val="63"/>
      </w:pPr>
      <w:r>
        <w:rPr>
          <w:rFonts w:hint="eastAsia"/>
        </w:rPr>
        <w:t>淘汰赛相关规则</w:t>
      </w:r>
    </w:p>
    <w:p>
      <w:pPr>
        <w:pStyle w:val="90"/>
        <w:ind w:firstLine="480"/>
      </w:pPr>
      <w:r>
        <w:t>淘汰赛三局比赛中，每局比赛结束后，战队联盟最多有5分钟的调试时间，不得超时。</w:t>
      </w:r>
    </w:p>
    <w:p>
      <w:pPr>
        <w:pStyle w:val="30"/>
        <w:numPr>
          <w:ilvl w:val="0"/>
          <w:numId w:val="69"/>
        </w:numPr>
      </w:pPr>
      <w:r>
        <w:rPr>
          <w:rFonts w:hint="eastAsia"/>
          <w:lang w:val="en-US" w:eastAsia="zh-CN"/>
        </w:rPr>
        <w:t>违规</w:t>
      </w:r>
      <w:r>
        <w:t xml:space="preserve">方将被判警告，两次违规将被判违例。 </w:t>
      </w:r>
    </w:p>
    <w:p>
      <w:pPr>
        <w:pStyle w:val="63"/>
      </w:pPr>
      <w:r>
        <w:rPr>
          <w:rFonts w:hint="eastAsia"/>
        </w:rPr>
        <w:t>提前开始比赛</w:t>
      </w:r>
    </w:p>
    <w:p>
      <w:pPr>
        <w:pStyle w:val="90"/>
        <w:ind w:firstLine="480"/>
      </w:pPr>
      <w:r>
        <w:t>在裁判宣布比赛开始前，机器人不得启动。</w:t>
      </w:r>
    </w:p>
    <w:p>
      <w:pPr>
        <w:pStyle w:val="30"/>
        <w:numPr>
          <w:ilvl w:val="0"/>
          <w:numId w:val="69"/>
        </w:numPr>
      </w:pPr>
      <w:r>
        <w:rPr>
          <w:rFonts w:hint="eastAsia"/>
        </w:rPr>
        <w:t>违规</w:t>
      </w:r>
      <w:r>
        <w:t xml:space="preserve">方将被判违例，两次违规将被判黄牌。 </w:t>
      </w:r>
    </w:p>
    <w:p>
      <w:pPr>
        <w:pStyle w:val="63"/>
      </w:pPr>
      <w:r>
        <w:rPr>
          <w:rFonts w:hint="eastAsia"/>
        </w:rPr>
        <w:t>延迟结束比赛</w:t>
      </w:r>
    </w:p>
    <w:p>
      <w:pPr>
        <w:pStyle w:val="90"/>
        <w:ind w:firstLine="480"/>
      </w:pPr>
      <w:r>
        <w:t>在自动控制阶段、手动控制阶段结束后，操作手应停止机器人的运动程序或停止操作机器人（机器人由于惯性导致的运动除外）。</w:t>
      </w:r>
    </w:p>
    <w:p>
      <w:pPr>
        <w:pStyle w:val="30"/>
        <w:numPr>
          <w:ilvl w:val="0"/>
          <w:numId w:val="69"/>
        </w:numPr>
      </w:pPr>
      <w:r>
        <w:rPr>
          <w:rFonts w:hint="eastAsia"/>
        </w:rPr>
        <w:t>违规</w:t>
      </w:r>
      <w:r>
        <w:t>方将被判违例，若延迟结束比赛为</w:t>
      </w:r>
      <w:r>
        <w:rPr>
          <w:rFonts w:hint="eastAsia"/>
          <w:lang w:eastAsia="zh-CN"/>
        </w:rPr>
        <w:t>违规</w:t>
      </w:r>
      <w:r>
        <w:t xml:space="preserve">方带来比赛优势，裁判应判无效得分，并尽量恢复场地原有状态。 </w:t>
      </w:r>
    </w:p>
    <w:p>
      <w:pPr>
        <w:pStyle w:val="63"/>
      </w:pPr>
      <w:r>
        <w:rPr>
          <w:rFonts w:hint="eastAsia"/>
        </w:rPr>
        <w:t>携带违规电子设备</w:t>
      </w:r>
    </w:p>
    <w:p>
      <w:pPr>
        <w:pStyle w:val="90"/>
        <w:ind w:firstLine="480"/>
      </w:pPr>
      <w:r>
        <w:t>除比赛允许使用的电子通讯设备外，不允许参赛队员携带其他电子通讯设备进入比赛场地（手机、对讲机、电脑、无线网络设备等）。</w:t>
      </w:r>
    </w:p>
    <w:p>
      <w:pPr>
        <w:pStyle w:val="30"/>
        <w:numPr>
          <w:ilvl w:val="0"/>
          <w:numId w:val="69"/>
        </w:numPr>
      </w:pPr>
      <w:r>
        <w:rPr>
          <w:highlight w:val="none"/>
        </w:rPr>
        <w:t>违规</w:t>
      </w:r>
      <w:r>
        <w:t>方将被判违例，二次</w:t>
      </w:r>
      <w:r>
        <w:rPr>
          <w:rFonts w:hint="eastAsia"/>
        </w:rPr>
        <w:t>违规</w:t>
      </w:r>
      <w:r>
        <w:t>将被判黄牌，情节恶劣者取消</w:t>
      </w:r>
      <w:r>
        <w:rPr>
          <w:rFonts w:hint="eastAsia"/>
          <w:lang w:val="en-US" w:eastAsia="zh-CN"/>
        </w:rPr>
        <w:t>本场</w:t>
      </w:r>
      <w:r>
        <w:t>比赛资格。</w:t>
      </w:r>
    </w:p>
    <w:p>
      <w:pPr>
        <w:pStyle w:val="63"/>
      </w:pPr>
      <w:r>
        <w:rPr>
          <w:rFonts w:hint="eastAsia"/>
        </w:rPr>
        <w:t>自动控制阶段违规操控</w:t>
      </w:r>
    </w:p>
    <w:p>
      <w:pPr>
        <w:pStyle w:val="90"/>
        <w:ind w:firstLine="480"/>
      </w:pPr>
      <w:r>
        <w:t>选手须提前完成蓝牙手柄与机器人的配对。自动控制阶段，蓝牙手柄应放置于场地外；自动控制阶段结束后，方可拿起蓝牙手柄操控机器人；手动控制阶段结束后，须立即停止操控机器人。</w:t>
      </w:r>
    </w:p>
    <w:p>
      <w:pPr>
        <w:pStyle w:val="30"/>
        <w:numPr>
          <w:ilvl w:val="0"/>
          <w:numId w:val="69"/>
        </w:numPr>
      </w:pPr>
      <w:r>
        <w:rPr>
          <w:rFonts w:hint="eastAsia"/>
        </w:rPr>
        <w:t>违规</w:t>
      </w:r>
      <w:r>
        <w:t>方将被判违例，自动控制阶段使用蓝牙手柄将直接判罚红牌，情节恶劣者取消</w:t>
      </w:r>
      <w:r>
        <w:rPr>
          <w:rFonts w:hint="eastAsia"/>
          <w:lang w:val="en-US" w:eastAsia="zh-CN"/>
        </w:rPr>
        <w:t>本场</w:t>
      </w:r>
      <w:r>
        <w:t>比赛资格。</w:t>
      </w:r>
    </w:p>
    <w:p>
      <w:pPr>
        <w:pStyle w:val="63"/>
      </w:pPr>
      <w:r>
        <w:rPr>
          <w:rFonts w:hint="eastAsia"/>
        </w:rPr>
        <w:t>操控被禁用的机器人</w:t>
      </w:r>
    </w:p>
    <w:p>
      <w:pPr>
        <w:pStyle w:val="90"/>
        <w:ind w:firstLine="480"/>
      </w:pPr>
      <w:r>
        <w:t>机器人被判禁用后，操控手不得继续操控。</w:t>
      </w:r>
    </w:p>
    <w:p>
      <w:pPr>
        <w:pStyle w:val="30"/>
        <w:numPr>
          <w:ilvl w:val="0"/>
          <w:numId w:val="69"/>
        </w:numPr>
      </w:pPr>
      <w:r>
        <w:t>违规者取消</w:t>
      </w:r>
      <w:r>
        <w:rPr>
          <w:rFonts w:hint="eastAsia"/>
          <w:lang w:val="en-US" w:eastAsia="zh-CN"/>
        </w:rPr>
        <w:t>本场</w:t>
      </w:r>
      <w:r>
        <w:t>比赛资格。</w:t>
      </w:r>
    </w:p>
    <w:p>
      <w:pPr>
        <w:pStyle w:val="63"/>
      </w:pPr>
      <w:r>
        <w:rPr>
          <w:rFonts w:hint="eastAsia"/>
        </w:rPr>
        <w:t>机器人遗留零部件</w:t>
      </w:r>
    </w:p>
    <w:p>
      <w:pPr>
        <w:pStyle w:val="90"/>
        <w:ind w:firstLine="480"/>
        <w:rPr>
          <w:highlight w:val="none"/>
        </w:rPr>
      </w:pPr>
      <w:r>
        <w:t>比赛期间，机器人不可以分离（分离指与机器人主体分离，并不受控制）零部件或把机械装置遗留在比赛场地。因对方机器人的碰撞或其他机器人的直接接触行</w:t>
      </w:r>
      <w:r>
        <w:rPr>
          <w:highlight w:val="none"/>
        </w:rPr>
        <w:t>为导致的脱落除外。</w:t>
      </w:r>
    </w:p>
    <w:p>
      <w:pPr>
        <w:pStyle w:val="30"/>
        <w:numPr>
          <w:ilvl w:val="0"/>
          <w:numId w:val="69"/>
        </w:numPr>
        <w:rPr>
          <w:highlight w:val="none"/>
        </w:rPr>
      </w:pPr>
      <w:r>
        <w:rPr>
          <w:highlight w:val="none"/>
        </w:rPr>
        <w:t>若影响比赛进行</w:t>
      </w:r>
      <w:r>
        <w:rPr>
          <w:rFonts w:hint="eastAsia"/>
          <w:highlight w:val="none"/>
        </w:rPr>
        <w:t>，违规</w:t>
      </w:r>
      <w:r>
        <w:rPr>
          <w:highlight w:val="none"/>
        </w:rPr>
        <w:t xml:space="preserve">方将被判违例，两次违规将被判黄牌。 </w:t>
      </w:r>
    </w:p>
    <w:p>
      <w:pPr>
        <w:pStyle w:val="63"/>
        <w:rPr>
          <w:highlight w:val="none"/>
        </w:rPr>
      </w:pPr>
      <w:r>
        <w:rPr>
          <w:rFonts w:hint="eastAsia"/>
          <w:highlight w:val="none"/>
        </w:rPr>
        <w:t>机器人在比赛过程中不符合规范</w:t>
      </w:r>
    </w:p>
    <w:p>
      <w:pPr>
        <w:pStyle w:val="90"/>
        <w:ind w:firstLine="480"/>
        <w:rPr>
          <w:highlight w:val="none"/>
        </w:rPr>
      </w:pPr>
      <w:r>
        <w:rPr>
          <w:rFonts w:hint="eastAsia"/>
          <w:highlight w:val="none"/>
        </w:rPr>
        <w:t xml:space="preserve">机器人尺寸以赛前双方选手及裁判检查时通过的状态为合格的参赛状态。在比赛过程中，机器人的尺寸、重量等参数须符合相关比赛规范；若因非主观因素造成的机器人尺寸超标，包括被对手抛射场地元素击中或因外力改变，导致机器人尺寸超出比赛尺寸限制和机器人状态变形的情况除外。 </w:t>
      </w:r>
    </w:p>
    <w:p>
      <w:pPr>
        <w:pStyle w:val="30"/>
        <w:numPr>
          <w:ilvl w:val="0"/>
          <w:numId w:val="69"/>
        </w:numPr>
        <w:rPr>
          <w:highlight w:val="none"/>
        </w:rPr>
      </w:pPr>
      <w:r>
        <w:rPr>
          <w:rFonts w:hint="eastAsia"/>
          <w:highlight w:val="none"/>
        </w:rPr>
        <w:t>违规</w:t>
      </w:r>
      <w:r>
        <w:rPr>
          <w:highlight w:val="none"/>
        </w:rPr>
        <w:t xml:space="preserve">方将被判红牌。 </w:t>
      </w:r>
    </w:p>
    <w:p>
      <w:pPr>
        <w:pStyle w:val="63"/>
      </w:pPr>
      <w:r>
        <w:rPr>
          <w:rFonts w:hint="eastAsia"/>
        </w:rPr>
        <w:t>违规抛射</w:t>
      </w:r>
    </w:p>
    <w:p>
      <w:pPr>
        <w:pStyle w:val="90"/>
        <w:ind w:firstLine="480"/>
      </w:pPr>
      <w:r>
        <w:t>机器人不可将不被允许抛射的场地元素从己方场地上抛向对方场地。</w:t>
      </w:r>
    </w:p>
    <w:p>
      <w:pPr>
        <w:pStyle w:val="90"/>
        <w:numPr>
          <w:ilvl w:val="0"/>
          <w:numId w:val="0"/>
        </w:numPr>
        <w:ind w:left="480"/>
      </w:pPr>
      <w:r>
        <w:t>(如抛射</w:t>
      </w:r>
      <w:r>
        <w:rPr>
          <w:rFonts w:hint="eastAsia"/>
        </w:rPr>
        <w:t>方块</w:t>
      </w:r>
      <w:r>
        <w:t>、机器人零部件、</w:t>
      </w:r>
      <w:r>
        <w:rPr>
          <w:rFonts w:hint="eastAsia"/>
        </w:rPr>
        <w:t>旗帜</w:t>
      </w:r>
      <w:r>
        <w:t>等将会触犯此规则)</w:t>
      </w:r>
    </w:p>
    <w:p>
      <w:pPr>
        <w:pStyle w:val="30"/>
        <w:numPr>
          <w:ilvl w:val="0"/>
          <w:numId w:val="69"/>
        </w:numPr>
      </w:pPr>
      <w:r>
        <w:rPr>
          <w:rFonts w:hint="eastAsia"/>
        </w:rPr>
        <w:t>违规</w:t>
      </w:r>
      <w:r>
        <w:t>方将被判黄牌，如造成对方场地元素的变化，需暂停还原。</w:t>
      </w:r>
    </w:p>
    <w:p>
      <w:pPr>
        <w:pStyle w:val="63"/>
      </w:pPr>
      <w:r>
        <w:rPr>
          <w:rFonts w:hint="eastAsia"/>
        </w:rPr>
        <w:t>场地元素难与机器人分离</w:t>
      </w:r>
    </w:p>
    <w:p>
      <w:pPr>
        <w:pStyle w:val="90"/>
        <w:ind w:firstLine="480"/>
      </w:pPr>
      <w:r>
        <w:t>机器人的设计须满足轻易地将比赛元素从任何抓取、含有或持有的机械结构上移除</w:t>
      </w:r>
      <w:r>
        <w:rPr>
          <w:rFonts w:hint="eastAsia"/>
        </w:rPr>
        <w:t>的功能</w:t>
      </w:r>
      <w:r>
        <w:t>。即便是禁用或</w:t>
      </w:r>
      <w:r>
        <w:rPr>
          <w:rFonts w:hint="eastAsia"/>
        </w:rPr>
        <w:t>关闭电</w:t>
      </w:r>
      <w:r>
        <w:t>源的情况下，机器人仍应在不破坏场地的前提下被带出场地。</w:t>
      </w:r>
    </w:p>
    <w:p>
      <w:pPr>
        <w:pStyle w:val="30"/>
        <w:numPr>
          <w:ilvl w:val="0"/>
          <w:numId w:val="69"/>
        </w:numPr>
      </w:pPr>
      <w:r>
        <w:rPr>
          <w:rFonts w:hint="eastAsia"/>
        </w:rPr>
        <w:t>违规方机器人将被判当场比赛禁用，</w:t>
      </w:r>
      <w:r>
        <w:t>选手需要对机器人进行整改，两次违规将被判取消</w:t>
      </w:r>
      <w:r>
        <w:rPr>
          <w:rFonts w:hint="eastAsia"/>
          <w:lang w:val="en-US" w:eastAsia="zh-CN"/>
        </w:rPr>
        <w:t>全场</w:t>
      </w:r>
      <w:r>
        <w:t xml:space="preserve">比赛资格。 </w:t>
      </w:r>
    </w:p>
    <w:p>
      <w:pPr>
        <w:pStyle w:val="63"/>
      </w:pPr>
      <w:r>
        <w:rPr>
          <w:rFonts w:hint="eastAsia"/>
        </w:rPr>
        <w:t>进入对方区域</w:t>
      </w:r>
    </w:p>
    <w:p>
      <w:pPr>
        <w:pStyle w:val="90"/>
        <w:ind w:firstLine="480"/>
      </w:pPr>
      <w:r>
        <w:t>比赛过程中，机器人</w:t>
      </w:r>
      <w:r>
        <w:rPr>
          <w:rFonts w:hint="eastAsia"/>
          <w:lang w:val="en-US" w:eastAsia="zh-CN"/>
        </w:rPr>
        <w:t>地盘的</w:t>
      </w:r>
      <w:r>
        <w:rPr>
          <w:rFonts w:hint="eastAsia"/>
        </w:rPr>
        <w:t>垂直投影面不得以任何形式部分进入</w:t>
      </w:r>
      <w:r>
        <w:t>对方区域。</w:t>
      </w:r>
    </w:p>
    <w:p>
      <w:pPr>
        <w:pStyle w:val="30"/>
        <w:numPr>
          <w:ilvl w:val="0"/>
          <w:numId w:val="69"/>
        </w:numPr>
      </w:pPr>
      <w:r>
        <w:rPr>
          <w:rFonts w:hint="eastAsia"/>
        </w:rPr>
        <w:t>违规</w:t>
      </w:r>
      <w:r>
        <w:t>方将被判</w:t>
      </w:r>
      <w:r>
        <w:rPr>
          <w:rFonts w:hint="eastAsia"/>
          <w:lang w:val="en-US" w:eastAsia="zh-CN"/>
        </w:rPr>
        <w:t>黄牌</w:t>
      </w:r>
      <w:r>
        <w:rPr>
          <w:rFonts w:hint="eastAsia"/>
        </w:rPr>
        <w:t>。</w:t>
      </w:r>
      <w:r>
        <w:t>机器人</w:t>
      </w:r>
      <w:r>
        <w:rPr>
          <w:rFonts w:hint="eastAsia"/>
          <w:lang w:val="en-US" w:eastAsia="zh-CN"/>
        </w:rPr>
        <w:t>进入对方区域</w:t>
      </w:r>
      <w:r>
        <w:t>，须在3秒之内返回本方区域，裁判将会进行口头读秒提醒。</w:t>
      </w:r>
    </w:p>
    <w:p>
      <w:pPr>
        <w:pStyle w:val="63"/>
      </w:pPr>
      <w:r>
        <w:rPr>
          <w:rFonts w:hint="eastAsia"/>
        </w:rPr>
        <w:t>限制对方机器人移动</w:t>
      </w:r>
    </w:p>
    <w:p>
      <w:pPr>
        <w:pStyle w:val="90"/>
        <w:ind w:firstLine="480"/>
      </w:pPr>
      <w:r>
        <w:t>机器人不可阻止对方联盟</w:t>
      </w:r>
      <w:r>
        <w:rPr>
          <w:rFonts w:hint="eastAsia"/>
        </w:rPr>
        <w:t>的</w:t>
      </w:r>
      <w:r>
        <w:t>机器人全方位移动或接触场地元素。</w:t>
      </w:r>
    </w:p>
    <w:p>
      <w:pPr>
        <w:pStyle w:val="30"/>
        <w:numPr>
          <w:ilvl w:val="0"/>
          <w:numId w:val="69"/>
        </w:numPr>
      </w:pPr>
      <w:r>
        <w:rPr>
          <w:rFonts w:hint="eastAsia"/>
        </w:rPr>
        <w:t>违规</w:t>
      </w:r>
      <w:r>
        <w:t>方将被判违例，情节恶劣者将被判黄牌。</w:t>
      </w:r>
    </w:p>
    <w:p>
      <w:pPr>
        <w:pStyle w:val="63"/>
      </w:pPr>
      <w:r>
        <w:rPr>
          <w:rFonts w:hint="eastAsia"/>
        </w:rPr>
        <w:t>违规接触</w:t>
      </w:r>
    </w:p>
    <w:p>
      <w:pPr>
        <w:pStyle w:val="90"/>
        <w:ind w:firstLine="480"/>
      </w:pPr>
      <w:r>
        <w:t>自动控制阶段，机器人不得抢夺或直接接触中央区的道具，仅可利用本方道具完成任务。</w:t>
      </w:r>
    </w:p>
    <w:p>
      <w:pPr>
        <w:pStyle w:val="30"/>
        <w:numPr>
          <w:ilvl w:val="0"/>
          <w:numId w:val="69"/>
        </w:numPr>
      </w:pPr>
      <w:r>
        <w:t>蓄意将中央资源区球拨至己方场地内将被判罚黄牌，二次违规者升级为红牌。因机器人故障卡在中央资源区或者由于抛射本方球造成的中央资源区道具改变初始位置不在此范围内。</w:t>
      </w:r>
    </w:p>
    <w:p>
      <w:pPr>
        <w:pStyle w:val="90"/>
        <w:ind w:firstLine="480"/>
      </w:pPr>
      <w:r>
        <w:t>比赛过程中，参赛队员不得触碰比赛场地内的任何场地元素或机器人，身体不得伸入场地影响对方得分。若改变场地元素</w:t>
      </w:r>
      <w:r>
        <w:rPr>
          <w:rFonts w:hint="eastAsia"/>
        </w:rPr>
        <w:t>使比赛分数发生改变</w:t>
      </w:r>
      <w:r>
        <w:t>，裁判应判无效得分，并尽量恢复场地原有状态。</w:t>
      </w:r>
    </w:p>
    <w:p>
      <w:pPr>
        <w:pStyle w:val="30"/>
        <w:numPr>
          <w:ilvl w:val="0"/>
          <w:numId w:val="69"/>
        </w:numPr>
      </w:pPr>
      <w:r>
        <w:rPr>
          <w:rFonts w:hint="eastAsia"/>
        </w:rPr>
        <w:t>违规</w:t>
      </w:r>
      <w:r>
        <w:t>方将被判违例，如对比分或者比赛进行造成影响将判罚黄牌，情节恶劣者裁判有权取消</w:t>
      </w:r>
      <w:r>
        <w:rPr>
          <w:rFonts w:hint="eastAsia"/>
          <w:lang w:val="en-US" w:eastAsia="zh-CN"/>
        </w:rPr>
        <w:t>本场</w:t>
      </w:r>
      <w:r>
        <w:t>比赛资格。</w:t>
      </w:r>
    </w:p>
    <w:p>
      <w:pPr>
        <w:pStyle w:val="63"/>
        <w:rPr>
          <w:rFonts w:hint="default" w:eastAsia="思源黑体 CN Heavy"/>
          <w:lang w:val="en-US" w:eastAsia="zh-CN"/>
        </w:rPr>
      </w:pPr>
      <w:r>
        <w:rPr>
          <w:rFonts w:hint="eastAsia"/>
        </w:rPr>
        <w:t>机器人</w:t>
      </w:r>
      <w:r>
        <w:rPr>
          <w:rFonts w:hint="eastAsia"/>
          <w:lang w:val="en-US" w:eastAsia="zh-CN"/>
        </w:rPr>
        <w:t>接触本方球门区域内的得分道具</w:t>
      </w:r>
    </w:p>
    <w:p>
      <w:pPr>
        <w:pStyle w:val="90"/>
        <w:ind w:firstLine="480"/>
      </w:pPr>
      <w:r>
        <w:t>比赛过程中，机器人的任何部分不得</w:t>
      </w:r>
      <w:r>
        <w:rPr>
          <w:rFonts w:hint="eastAsia"/>
          <w:lang w:val="en-US" w:eastAsia="zh-CN"/>
        </w:rPr>
        <w:t>接触完全</w:t>
      </w:r>
      <w:r>
        <w:t>进入本方球门区域</w:t>
      </w:r>
      <w:r>
        <w:rPr>
          <w:rFonts w:hint="eastAsia"/>
          <w:lang w:val="en-US" w:eastAsia="zh-CN"/>
        </w:rPr>
        <w:t>的得分道具（包括球类、方块、环保旗帜）</w:t>
      </w:r>
      <w:r>
        <w:t>。</w:t>
      </w:r>
    </w:p>
    <w:p>
      <w:pPr>
        <w:pStyle w:val="30"/>
        <w:numPr>
          <w:ilvl w:val="0"/>
          <w:numId w:val="69"/>
        </w:numPr>
      </w:pPr>
      <w:r>
        <w:rPr>
          <w:rFonts w:hint="eastAsia"/>
        </w:rPr>
        <w:t>违规</w:t>
      </w:r>
      <w:r>
        <w:t>方首次违规将被</w:t>
      </w:r>
      <w:r>
        <w:rPr>
          <w:rFonts w:hint="eastAsia"/>
          <w:lang w:val="en-US" w:eastAsia="zh-CN"/>
        </w:rPr>
        <w:t>判红牌，机器人被禁用，</w:t>
      </w:r>
      <w:r>
        <w:t>移出场</w:t>
      </w:r>
      <w:r>
        <w:rPr>
          <w:rFonts w:hint="eastAsia"/>
          <w:lang w:val="en-US" w:eastAsia="zh-CN"/>
        </w:rPr>
        <w:t>外。</w:t>
      </w:r>
    </w:p>
    <w:p>
      <w:pPr>
        <w:pStyle w:val="63"/>
      </w:pPr>
      <w:r>
        <w:rPr>
          <w:rFonts w:hint="eastAsia"/>
        </w:rPr>
        <w:t>违规移出道具</w:t>
      </w:r>
    </w:p>
    <w:p>
      <w:pPr>
        <w:pStyle w:val="90"/>
        <w:ind w:firstLine="480"/>
      </w:pPr>
      <w:r>
        <w:rPr>
          <w:rFonts w:hint="eastAsia"/>
          <w:lang w:val="en-US" w:eastAsia="zh-CN"/>
        </w:rPr>
        <w:t>整个比赛过程中，</w:t>
      </w:r>
      <w:r>
        <w:t>机器人不可将任何场地道具移出场外。</w:t>
      </w:r>
    </w:p>
    <w:p>
      <w:pPr>
        <w:pStyle w:val="30"/>
        <w:numPr>
          <w:ilvl w:val="0"/>
          <w:numId w:val="69"/>
        </w:numPr>
      </w:pPr>
      <w:r>
        <w:rPr>
          <w:rFonts w:hint="eastAsia"/>
        </w:rPr>
        <w:t>违规</w:t>
      </w:r>
      <w:r>
        <w:t>方将被判违例，</w:t>
      </w:r>
      <w:r>
        <w:rPr>
          <w:rFonts w:hint="eastAsia"/>
          <w:lang w:val="en-US" w:eastAsia="zh-CN"/>
        </w:rPr>
        <w:t>两</w:t>
      </w:r>
      <w:r>
        <w:t>次违规者将被判取消</w:t>
      </w:r>
      <w:r>
        <w:rPr>
          <w:rFonts w:hint="eastAsia"/>
          <w:lang w:val="en-US" w:eastAsia="zh-CN"/>
        </w:rPr>
        <w:t>本场</w:t>
      </w:r>
      <w:r>
        <w:t>比赛资格。</w:t>
      </w:r>
    </w:p>
    <w:p>
      <w:pPr>
        <w:pStyle w:val="63"/>
      </w:pPr>
      <w:r>
        <w:rPr>
          <w:rFonts w:hint="eastAsia"/>
        </w:rPr>
        <w:t>违例指导</w:t>
      </w:r>
    </w:p>
    <w:p>
      <w:pPr>
        <w:pStyle w:val="90"/>
        <w:ind w:firstLine="480"/>
      </w:pPr>
      <w:r>
        <w:t>在比赛全过程中，除参赛战队成员外任何的相关人员</w:t>
      </w:r>
      <w:r>
        <w:rPr>
          <w:rFonts w:hint="eastAsia"/>
        </w:rPr>
        <w:t>（</w:t>
      </w:r>
      <w:r>
        <w:t>包括但不限于选手的家长或者指导教师</w:t>
      </w:r>
      <w:r>
        <w:rPr>
          <w:rFonts w:hint="eastAsia"/>
        </w:rPr>
        <w:t>）</w:t>
      </w:r>
      <w:r>
        <w:t>不得通过任何方式进入赛场区</w:t>
      </w:r>
      <w:r>
        <w:rPr>
          <w:rFonts w:hint="eastAsia"/>
        </w:rPr>
        <w:t>并</w:t>
      </w:r>
      <w:r>
        <w:t>进行任何形式的指导。</w:t>
      </w:r>
    </w:p>
    <w:p>
      <w:pPr>
        <w:pStyle w:val="30"/>
        <w:numPr>
          <w:ilvl w:val="0"/>
          <w:numId w:val="69"/>
        </w:numPr>
      </w:pPr>
      <w:r>
        <w:rPr>
          <w:rFonts w:hint="eastAsia"/>
        </w:rPr>
        <w:t>违规</w:t>
      </w:r>
      <w:r>
        <w:t>方将被判警告，若拒不改正，</w:t>
      </w:r>
      <w:r>
        <w:rPr>
          <w:rFonts w:hint="eastAsia"/>
        </w:rPr>
        <w:t>违规</w:t>
      </w:r>
      <w:r>
        <w:t>方将被判违例，并可视情况加大处罚力度，直至取消</w:t>
      </w:r>
      <w:r>
        <w:rPr>
          <w:rFonts w:hint="eastAsia"/>
          <w:lang w:val="en-US" w:eastAsia="zh-CN"/>
        </w:rPr>
        <w:t>本场</w:t>
      </w:r>
      <w:r>
        <w:t xml:space="preserve">比赛资格。 </w:t>
      </w:r>
    </w:p>
    <w:p>
      <w:pPr>
        <w:pStyle w:val="63"/>
      </w:pPr>
      <w:r>
        <w:rPr>
          <w:rFonts w:hint="eastAsia"/>
        </w:rPr>
        <w:t>场外接触</w:t>
      </w:r>
    </w:p>
    <w:p>
      <w:pPr>
        <w:pStyle w:val="90"/>
        <w:ind w:firstLine="480"/>
      </w:pPr>
      <w:r>
        <w:t>比赛进行过程中参赛队员不允许与场外人员及观赛人员有任何接触，包括但不限于零件、遥控手柄的传递。</w:t>
      </w:r>
    </w:p>
    <w:p>
      <w:pPr>
        <w:pStyle w:val="30"/>
        <w:numPr>
          <w:ilvl w:val="0"/>
          <w:numId w:val="69"/>
        </w:numPr>
      </w:pPr>
      <w:r>
        <w:rPr>
          <w:rFonts w:hint="eastAsia"/>
          <w:lang w:eastAsia="zh-CN"/>
        </w:rPr>
        <w:t>违规</w:t>
      </w:r>
      <w:r>
        <w:rPr>
          <w:rFonts w:hint="eastAsia"/>
        </w:rPr>
        <w:t>方将被判违例，二次违规将被取消</w:t>
      </w:r>
      <w:r>
        <w:rPr>
          <w:rFonts w:hint="eastAsia"/>
          <w:lang w:val="en-US" w:eastAsia="zh-CN"/>
        </w:rPr>
        <w:t>本场</w:t>
      </w:r>
      <w:r>
        <w:rPr>
          <w:rFonts w:hint="eastAsia"/>
        </w:rPr>
        <w:t>比赛资格</w:t>
      </w:r>
      <w:r>
        <w:t>。</w:t>
      </w:r>
    </w:p>
    <w:p>
      <w:pPr>
        <w:pStyle w:val="36"/>
        <w:numPr>
          <w:ilvl w:val="0"/>
          <w:numId w:val="0"/>
        </w:numPr>
        <w:spacing w:line="240" w:lineRule="auto"/>
      </w:pPr>
      <w:bookmarkStart w:id="17" w:name="_Toc24896"/>
      <w:r>
        <w:rPr>
          <w:rFonts w:hint="eastAsia"/>
        </w:rPr>
        <w:t>附录</w:t>
      </w:r>
      <w:r>
        <w:rPr>
          <w:rFonts w:hint="eastAsia"/>
          <w:lang w:val="en-US" w:eastAsia="zh-CN"/>
        </w:rPr>
        <w:t>1</w:t>
      </w:r>
      <w:r>
        <w:rPr>
          <w:rFonts w:hint="eastAsia"/>
        </w:rPr>
        <w:t>：</w:t>
      </w:r>
      <w:r>
        <w:t>MakeX Explorer 碳锁先锋判罚梳理表</w:t>
      </w:r>
      <w:bookmarkEnd w:id="17"/>
      <w:bookmarkStart w:id="18" w:name="_Toc498182041"/>
      <w:bookmarkEnd w:id="18"/>
      <w:bookmarkStart w:id="19" w:name="_Toc498182039"/>
      <w:bookmarkEnd w:id="19"/>
      <w:bookmarkStart w:id="20" w:name="_Toc482311778"/>
      <w:bookmarkEnd w:id="20"/>
    </w:p>
    <w:tbl>
      <w:tblPr>
        <w:tblStyle w:val="17"/>
        <w:tblW w:w="8484" w:type="dxa"/>
        <w:tblInd w:w="1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fixed"/>
        <w:tblCellMar>
          <w:top w:w="0" w:type="dxa"/>
          <w:left w:w="10" w:type="dxa"/>
          <w:bottom w:w="0" w:type="dxa"/>
          <w:right w:w="10" w:type="dxa"/>
        </w:tblCellMar>
      </w:tblPr>
      <w:tblGrid>
        <w:gridCol w:w="1173"/>
        <w:gridCol w:w="2687"/>
        <w:gridCol w:w="750"/>
        <w:gridCol w:w="532"/>
        <w:gridCol w:w="655"/>
        <w:gridCol w:w="655"/>
        <w:gridCol w:w="941"/>
        <w:gridCol w:w="1091"/>
      </w:tblGrid>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blHeader/>
        </w:trPr>
        <w:tc>
          <w:tcPr>
            <w:tcW w:w="1173" w:type="dxa"/>
            <w:shd w:val="clear" w:color="auto" w:fill="F1F1F1" w:themeFill="background1" w:themeFillShade="F2"/>
            <w:vAlign w:val="center"/>
          </w:tcPr>
          <w:p>
            <w:pPr>
              <w:jc w:val="center"/>
              <w:rPr>
                <w:rFonts w:ascii="思源黑体 CN Normal" w:hAnsi="思源黑体 CN Normal" w:eastAsia="思源黑体 CN Normal"/>
                <w:b/>
                <w:bCs/>
              </w:rPr>
            </w:pPr>
            <w:r>
              <w:rPr>
                <w:rFonts w:ascii="思源黑体 CN Normal" w:hAnsi="思源黑体 CN Normal" w:eastAsia="思源黑体 CN Normal" w:cs="Times New Roman"/>
                <w:b/>
                <w:bCs/>
              </w:rPr>
              <w:t>违规项目</w:t>
            </w:r>
          </w:p>
        </w:tc>
        <w:tc>
          <w:tcPr>
            <w:tcW w:w="2687" w:type="dxa"/>
            <w:shd w:val="clear" w:color="auto" w:fill="F1F1F1" w:themeFill="background1" w:themeFillShade="F2"/>
            <w:vAlign w:val="center"/>
          </w:tcPr>
          <w:p>
            <w:pPr>
              <w:jc w:val="center"/>
              <w:rPr>
                <w:rFonts w:ascii="思源黑体 CN Normal" w:hAnsi="思源黑体 CN Normal" w:eastAsia="思源黑体 CN Normal"/>
                <w:b/>
                <w:bCs/>
              </w:rPr>
            </w:pPr>
            <w:r>
              <w:rPr>
                <w:rFonts w:ascii="思源黑体 CN Normal" w:hAnsi="思源黑体 CN Normal" w:eastAsia="思源黑体 CN Normal" w:cs="Times New Roman"/>
                <w:b/>
                <w:bCs/>
              </w:rPr>
              <w:t>规则概述</w:t>
            </w:r>
          </w:p>
        </w:tc>
        <w:tc>
          <w:tcPr>
            <w:tcW w:w="750" w:type="dxa"/>
            <w:shd w:val="clear" w:color="auto" w:fill="F1F1F1" w:themeFill="background1" w:themeFillShade="F2"/>
            <w:vAlign w:val="center"/>
          </w:tcPr>
          <w:p>
            <w:pPr>
              <w:jc w:val="center"/>
              <w:rPr>
                <w:rFonts w:ascii="思源黑体 CN Normal" w:hAnsi="思源黑体 CN Normal" w:eastAsia="思源黑体 CN Normal"/>
                <w:b/>
                <w:bCs/>
              </w:rPr>
            </w:pPr>
            <w:r>
              <w:rPr>
                <w:rFonts w:ascii="思源黑体 CN Normal" w:hAnsi="思源黑体 CN Normal" w:eastAsia="思源黑体 CN Normal" w:cs="Times New Roman"/>
                <w:b/>
                <w:bCs/>
              </w:rPr>
              <w:t>违例</w:t>
            </w:r>
          </w:p>
        </w:tc>
        <w:tc>
          <w:tcPr>
            <w:tcW w:w="532" w:type="dxa"/>
            <w:shd w:val="clear" w:color="auto" w:fill="F1F1F1" w:themeFill="background1" w:themeFillShade="F2"/>
            <w:vAlign w:val="center"/>
          </w:tcPr>
          <w:p>
            <w:pPr>
              <w:jc w:val="center"/>
              <w:rPr>
                <w:rFonts w:ascii="思源黑体 CN Normal" w:hAnsi="思源黑体 CN Normal" w:eastAsia="思源黑体 CN Normal"/>
                <w:b/>
                <w:bCs/>
              </w:rPr>
            </w:pPr>
            <w:r>
              <w:rPr>
                <w:rFonts w:ascii="思源黑体 CN Normal" w:hAnsi="思源黑体 CN Normal" w:eastAsia="思源黑体 CN Normal" w:cs="Times New Roman"/>
                <w:b/>
                <w:bCs/>
              </w:rPr>
              <w:t>黄牌</w:t>
            </w:r>
          </w:p>
        </w:tc>
        <w:tc>
          <w:tcPr>
            <w:tcW w:w="655" w:type="dxa"/>
            <w:shd w:val="clear" w:color="auto" w:fill="F1F1F1" w:themeFill="background1" w:themeFillShade="F2"/>
            <w:vAlign w:val="center"/>
          </w:tcPr>
          <w:p>
            <w:pPr>
              <w:jc w:val="center"/>
              <w:rPr>
                <w:rFonts w:ascii="思源黑体 CN Normal" w:hAnsi="思源黑体 CN Normal" w:eastAsia="思源黑体 CN Normal" w:cs="Times New Roman"/>
                <w:b/>
                <w:bCs/>
              </w:rPr>
            </w:pPr>
            <w:r>
              <w:rPr>
                <w:rFonts w:ascii="思源黑体 CN Normal" w:hAnsi="思源黑体 CN Normal" w:eastAsia="思源黑体 CN Normal" w:cs="Times New Roman"/>
                <w:b/>
                <w:bCs/>
              </w:rPr>
              <w:t>禁用</w:t>
            </w:r>
          </w:p>
        </w:tc>
        <w:tc>
          <w:tcPr>
            <w:tcW w:w="655" w:type="dxa"/>
            <w:shd w:val="clear" w:color="auto" w:fill="F1F1F1" w:themeFill="background1" w:themeFillShade="F2"/>
            <w:vAlign w:val="center"/>
          </w:tcPr>
          <w:p>
            <w:pPr>
              <w:jc w:val="center"/>
              <w:rPr>
                <w:rFonts w:ascii="思源黑体 CN Normal" w:hAnsi="思源黑体 CN Normal" w:eastAsia="思源黑体 CN Normal"/>
                <w:b/>
                <w:bCs/>
              </w:rPr>
            </w:pPr>
            <w:r>
              <w:rPr>
                <w:rFonts w:ascii="思源黑体 CN Normal" w:hAnsi="思源黑体 CN Normal" w:eastAsia="思源黑体 CN Normal" w:cs="Times New Roman"/>
                <w:b/>
                <w:bCs/>
              </w:rPr>
              <w:t>红牌</w:t>
            </w:r>
          </w:p>
        </w:tc>
        <w:tc>
          <w:tcPr>
            <w:tcW w:w="941" w:type="dxa"/>
            <w:shd w:val="clear" w:color="auto" w:fill="F1F1F1" w:themeFill="background1" w:themeFillShade="F2"/>
            <w:vAlign w:val="center"/>
          </w:tcPr>
          <w:p>
            <w:pPr>
              <w:jc w:val="center"/>
              <w:rPr>
                <w:rFonts w:hint="eastAsia" w:ascii="思源黑体 CN Normal" w:hAnsi="思源黑体 CN Normal" w:eastAsia="思源黑体 CN Normal" w:cs="Times New Roman"/>
                <w:b/>
                <w:bCs/>
                <w:color w:val="000000"/>
                <w:lang w:val="en-US" w:eastAsia="zh-CN"/>
              </w:rPr>
            </w:pPr>
            <w:r>
              <w:rPr>
                <w:rFonts w:ascii="思源黑体 CN Normal" w:hAnsi="思源黑体 CN Normal" w:eastAsia="思源黑体 CN Normal" w:cs="Times New Roman"/>
                <w:b/>
                <w:bCs/>
                <w:color w:val="000000"/>
              </w:rPr>
              <w:t>取消</w:t>
            </w:r>
            <w:r>
              <w:rPr>
                <w:rFonts w:hint="eastAsia" w:ascii="思源黑体 CN Normal" w:hAnsi="思源黑体 CN Normal" w:eastAsia="思源黑体 CN Normal" w:cs="Times New Roman"/>
                <w:b/>
                <w:bCs/>
                <w:color w:val="000000"/>
                <w:lang w:val="en-US" w:eastAsia="zh-CN"/>
              </w:rPr>
              <w:t>本场</w:t>
            </w:r>
          </w:p>
          <w:p>
            <w:pPr>
              <w:jc w:val="center"/>
              <w:rPr>
                <w:rFonts w:ascii="思源黑体 CN Normal" w:hAnsi="思源黑体 CN Normal" w:eastAsia="思源黑体 CN Normal" w:cs="Times New Roman"/>
                <w:b/>
                <w:bCs/>
                <w:color w:val="000000"/>
              </w:rPr>
            </w:pPr>
            <w:r>
              <w:rPr>
                <w:rFonts w:ascii="思源黑体 CN Normal" w:hAnsi="思源黑体 CN Normal" w:eastAsia="思源黑体 CN Normal" w:cs="Times New Roman"/>
                <w:b/>
                <w:bCs/>
                <w:color w:val="000000"/>
              </w:rPr>
              <w:t>比赛资格</w:t>
            </w:r>
          </w:p>
        </w:tc>
        <w:tc>
          <w:tcPr>
            <w:tcW w:w="1091" w:type="dxa"/>
            <w:shd w:val="clear" w:color="auto" w:fill="F1F1F1" w:themeFill="background1" w:themeFillShade="F2"/>
            <w:vAlign w:val="center"/>
          </w:tcPr>
          <w:p>
            <w:pPr>
              <w:jc w:val="center"/>
              <w:rPr>
                <w:rFonts w:hint="eastAsia" w:ascii="思源黑体 CN Normal" w:hAnsi="思源黑体 CN Normal" w:eastAsia="思源黑体 CN Normal" w:cs="Times New Roman"/>
                <w:b/>
                <w:bCs/>
                <w:color w:val="000000"/>
                <w:lang w:val="en-US" w:eastAsia="zh-CN"/>
              </w:rPr>
            </w:pPr>
            <w:r>
              <w:rPr>
                <w:rFonts w:ascii="思源黑体 CN Normal" w:hAnsi="思源黑体 CN Normal" w:eastAsia="思源黑体 CN Normal" w:cs="Times New Roman"/>
                <w:b/>
                <w:bCs/>
                <w:color w:val="000000"/>
              </w:rPr>
              <w:t>取消</w:t>
            </w:r>
            <w:r>
              <w:rPr>
                <w:rFonts w:hint="eastAsia" w:ascii="思源黑体 CN Normal" w:hAnsi="思源黑体 CN Normal" w:eastAsia="思源黑体 CN Normal" w:cs="Times New Roman"/>
                <w:b/>
                <w:bCs/>
                <w:color w:val="000000"/>
                <w:lang w:val="en-US" w:eastAsia="zh-CN"/>
              </w:rPr>
              <w:t>全场</w:t>
            </w:r>
          </w:p>
          <w:p>
            <w:pPr>
              <w:jc w:val="center"/>
              <w:rPr>
                <w:rFonts w:ascii="思源黑体 CN Normal" w:hAnsi="思源黑体 CN Normal" w:eastAsia="思源黑体 CN Normal"/>
                <w:b/>
                <w:bCs/>
              </w:rPr>
            </w:pPr>
            <w:r>
              <w:rPr>
                <w:rFonts w:ascii="思源黑体 CN Normal" w:hAnsi="思源黑体 CN Normal" w:eastAsia="思源黑体 CN Normal" w:cs="Times New Roman"/>
                <w:b/>
                <w:bCs/>
                <w:color w:val="000000"/>
              </w:rPr>
              <w:t>比赛资格</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77" w:hRule="atLeast"/>
        </w:trPr>
        <w:tc>
          <w:tcPr>
            <w:tcW w:w="1173" w:type="dxa"/>
            <w:shd w:val="clear" w:color="auto" w:fill="FFFFFF"/>
            <w:vAlign w:val="center"/>
          </w:tcPr>
          <w:p>
            <w:pPr>
              <w:jc w:val="center"/>
              <w:rPr>
                <w:rFonts w:ascii="思源黑体 CN Normal" w:hAnsi="思源黑体 CN Normal" w:eastAsia="思源黑体 CN Normal" w:cs="Times New Roman"/>
                <w:color w:val="000000"/>
              </w:rPr>
            </w:pPr>
            <w:r>
              <w:rPr>
                <w:rFonts w:hint="eastAsia"/>
              </w:rPr>
              <w:t>破坏或污染场地</w:t>
            </w:r>
          </w:p>
        </w:tc>
        <w:tc>
          <w:tcPr>
            <w:tcW w:w="2687" w:type="dxa"/>
            <w:shd w:val="clear" w:color="auto" w:fill="FFFFFF"/>
            <w:vAlign w:val="center"/>
          </w:tcPr>
          <w:p>
            <w:pPr>
              <w:jc w:val="left"/>
              <w:rPr>
                <w:rFonts w:ascii="思源黑体 CN Normal" w:hAnsi="思源黑体 CN Normal" w:eastAsia="思源黑体 CN Normal" w:cs="Times New Roman"/>
              </w:rPr>
            </w:pPr>
            <w:r>
              <w:rPr>
                <w:rFonts w:hint="eastAsia" w:ascii="思源黑体 CN Normal" w:hAnsi="思源黑体 CN Normal" w:eastAsia="思源黑体 CN Normal" w:cs="Times New Roman"/>
              </w:rPr>
              <w:t xml:space="preserve">违规方机器人将被判本场比赛禁用，两次违规将被判取消全场比赛资格。 </w:t>
            </w:r>
          </w:p>
        </w:tc>
        <w:tc>
          <w:tcPr>
            <w:tcW w:w="750" w:type="dxa"/>
            <w:shd w:val="clear" w:color="auto" w:fill="FFFFFF"/>
            <w:vAlign w:val="center"/>
          </w:tcPr>
          <w:p>
            <w:pPr>
              <w:jc w:val="center"/>
              <w:rPr>
                <w:rFonts w:ascii="思源黑体 CN Normal" w:hAnsi="思源黑体 CN Normal" w:eastAsia="思源黑体 CN Normal" w:cs="Times New Roman"/>
              </w:rPr>
            </w:pPr>
          </w:p>
        </w:tc>
        <w:tc>
          <w:tcPr>
            <w:tcW w:w="532" w:type="dxa"/>
            <w:shd w:val="clear" w:color="auto" w:fill="FFFFFF"/>
            <w:vAlign w:val="center"/>
          </w:tcPr>
          <w:p>
            <w:pPr>
              <w:jc w:val="center"/>
              <w:rPr>
                <w:rFonts w:ascii="思源黑体 CN Normal" w:hAnsi="思源黑体 CN Normal" w:eastAsia="思源黑体 CN Normal" w:cs="Times New Roman"/>
              </w:rPr>
            </w:pPr>
          </w:p>
        </w:tc>
        <w:tc>
          <w:tcPr>
            <w:tcW w:w="655" w:type="dxa"/>
            <w:shd w:val="clear" w:color="auto" w:fill="FFFFFF"/>
            <w:vAlign w:val="center"/>
          </w:tcPr>
          <w:p>
            <w:pPr>
              <w:jc w:val="center"/>
              <w:rPr>
                <w:rFonts w:ascii="思源黑体 CN Normal" w:hAnsi="思源黑体 CN Normal" w:eastAsia="思源黑体 CN Normal" w:cs="Times New Roman"/>
              </w:rPr>
            </w:pPr>
            <w:r>
              <w:rPr>
                <w:rFonts w:ascii="Segoe UI Emoji" w:hAnsi="Segoe UI Emoji" w:eastAsia="思源黑体 CN Normal" w:cs="Segoe UI Emoji"/>
              </w:rPr>
              <w:t>✔</w:t>
            </w:r>
          </w:p>
        </w:tc>
        <w:tc>
          <w:tcPr>
            <w:tcW w:w="655" w:type="dxa"/>
            <w:shd w:val="clear" w:color="auto" w:fill="FFFFFF"/>
            <w:vAlign w:val="center"/>
          </w:tcPr>
          <w:p>
            <w:pPr>
              <w:jc w:val="center"/>
              <w:rPr>
                <w:rFonts w:ascii="思源黑体 CN Normal" w:hAnsi="思源黑体 CN Normal" w:eastAsia="思源黑体 CN Normal" w:cs="Times New Roman"/>
              </w:rPr>
            </w:pPr>
          </w:p>
        </w:tc>
        <w:tc>
          <w:tcPr>
            <w:tcW w:w="941" w:type="dxa"/>
            <w:shd w:val="clear" w:color="auto" w:fill="FFFFFF"/>
            <w:vAlign w:val="center"/>
          </w:tcPr>
          <w:p>
            <w:pPr>
              <w:jc w:val="center"/>
              <w:rPr>
                <w:rFonts w:ascii="Segoe UI Emoji" w:hAnsi="Segoe UI Emoji" w:eastAsia="思源黑体 CN Normal" w:cs="Segoe UI Emoji"/>
              </w:rPr>
            </w:pPr>
          </w:p>
        </w:tc>
        <w:tc>
          <w:tcPr>
            <w:tcW w:w="1091" w:type="dxa"/>
            <w:shd w:val="clear" w:color="auto" w:fill="FFFFFF"/>
            <w:vAlign w:val="center"/>
          </w:tcPr>
          <w:p>
            <w:pPr>
              <w:jc w:val="center"/>
              <w:rPr>
                <w:rFonts w:ascii="思源黑体 CN Normal" w:hAnsi="思源黑体 CN Normal" w:eastAsia="思源黑体 CN Normal" w:cs="Times New Roman"/>
              </w:rPr>
            </w:pPr>
            <w:r>
              <w:rPr>
                <w:rFonts w:ascii="Segoe UI Emoji" w:hAnsi="Segoe UI Emoji" w:eastAsia="思源黑体 CN Normal" w:cs="Segoe UI Emoji"/>
              </w:rPr>
              <w:t>✔</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shd w:val="clear" w:color="auto" w:fill="FFFFFF"/>
            <w:vAlign w:val="center"/>
          </w:tcPr>
          <w:p>
            <w:pPr>
              <w:jc w:val="center"/>
              <w:rPr>
                <w:rFonts w:ascii="思源黑体 CN Normal" w:hAnsi="思源黑体 CN Normal" w:eastAsia="思源黑体 CN Normal"/>
              </w:rPr>
            </w:pPr>
            <w:r>
              <w:rPr>
                <w:rFonts w:hint="eastAsia" w:ascii="思源黑体 CN Normal" w:hAnsi="思源黑体 CN Normal" w:eastAsia="思源黑体 CN Normal" w:cs="Times New Roman"/>
                <w:color w:val="000000"/>
              </w:rPr>
              <w:t>破坏其它机器人</w:t>
            </w:r>
          </w:p>
        </w:tc>
        <w:tc>
          <w:tcPr>
            <w:tcW w:w="2687" w:type="dxa"/>
            <w:shd w:val="clear" w:color="auto" w:fill="FFFFFF"/>
            <w:vAlign w:val="center"/>
          </w:tcPr>
          <w:p>
            <w:pPr>
              <w:jc w:val="left"/>
              <w:rPr>
                <w:rFonts w:ascii="思源黑体 CN Normal" w:hAnsi="思源黑体 CN Normal" w:eastAsia="思源黑体 CN Normal"/>
              </w:rPr>
            </w:pPr>
            <w:r>
              <w:rPr>
                <w:rFonts w:hint="eastAsia" w:ascii="思源黑体 CN Normal" w:hAnsi="思源黑体 CN Normal" w:eastAsia="思源黑体 CN Normal"/>
              </w:rPr>
              <w:t>违规方机器人将被判本场比赛禁用，两次违规将被判取消全场比赛资格。</w:t>
            </w:r>
          </w:p>
        </w:tc>
        <w:tc>
          <w:tcPr>
            <w:tcW w:w="750" w:type="dxa"/>
            <w:shd w:val="clear" w:color="auto" w:fill="FFFFFF"/>
            <w:vAlign w:val="center"/>
          </w:tcPr>
          <w:p>
            <w:pPr>
              <w:jc w:val="center"/>
              <w:rPr>
                <w:rFonts w:ascii="思源黑体 CN Normal" w:hAnsi="思源黑体 CN Normal" w:eastAsia="思源黑体 CN Normal"/>
              </w:rPr>
            </w:pPr>
          </w:p>
        </w:tc>
        <w:tc>
          <w:tcPr>
            <w:tcW w:w="532" w:type="dxa"/>
            <w:shd w:val="clear" w:color="auto" w:fill="FFFFFF"/>
            <w:vAlign w:val="center"/>
          </w:tcPr>
          <w:p>
            <w:pPr>
              <w:jc w:val="center"/>
              <w:rPr>
                <w:rFonts w:ascii="思源黑体 CN Normal" w:hAnsi="思源黑体 CN Normal" w:eastAsia="思源黑体 CN Normal"/>
              </w:rPr>
            </w:pPr>
          </w:p>
        </w:tc>
        <w:tc>
          <w:tcPr>
            <w:tcW w:w="655" w:type="dxa"/>
            <w:shd w:val="clear" w:color="auto" w:fill="FFFFFF"/>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655" w:type="dxa"/>
            <w:shd w:val="clear" w:color="auto" w:fill="FFFFFF"/>
            <w:vAlign w:val="center"/>
          </w:tcPr>
          <w:p>
            <w:pPr>
              <w:jc w:val="center"/>
              <w:rPr>
                <w:rFonts w:ascii="思源黑体 CN Normal" w:hAnsi="思源黑体 CN Normal" w:eastAsia="思源黑体 CN Normal"/>
              </w:rPr>
            </w:pPr>
          </w:p>
        </w:tc>
        <w:tc>
          <w:tcPr>
            <w:tcW w:w="941" w:type="dxa"/>
            <w:shd w:val="clear" w:color="auto" w:fill="FFFFFF"/>
            <w:vAlign w:val="center"/>
          </w:tcPr>
          <w:p>
            <w:pPr>
              <w:jc w:val="center"/>
              <w:rPr>
                <w:rFonts w:ascii="Segoe UI Emoji" w:hAnsi="Segoe UI Emoji" w:eastAsia="思源黑体 CN Normal" w:cs="Segoe UI Emoji"/>
              </w:rPr>
            </w:pPr>
          </w:p>
        </w:tc>
        <w:tc>
          <w:tcPr>
            <w:tcW w:w="1091" w:type="dxa"/>
            <w:shd w:val="clear" w:color="auto" w:fill="FFFFFF"/>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shd w:val="clear" w:color="auto" w:fill="FFFFFF"/>
            <w:vAlign w:val="center"/>
          </w:tcPr>
          <w:p>
            <w:pPr>
              <w:jc w:val="center"/>
              <w:rPr>
                <w:rFonts w:ascii="思源黑体 CN Normal" w:hAnsi="思源黑体 CN Normal" w:eastAsia="思源黑体 CN Normal"/>
              </w:rPr>
            </w:pPr>
            <w:r>
              <w:rPr>
                <w:rFonts w:hint="eastAsia" w:ascii="思源黑体 CN Normal" w:hAnsi="思源黑体 CN Normal" w:eastAsia="思源黑体 CN Normal" w:cs="Times New Roman"/>
                <w:color w:val="000000"/>
              </w:rPr>
              <w:t>机器人出界</w:t>
            </w:r>
          </w:p>
        </w:tc>
        <w:tc>
          <w:tcPr>
            <w:tcW w:w="2687" w:type="dxa"/>
            <w:shd w:val="clear" w:color="auto" w:fill="FFFFFF"/>
            <w:vAlign w:val="center"/>
          </w:tcPr>
          <w:p>
            <w:pPr>
              <w:jc w:val="left"/>
              <w:rPr>
                <w:rFonts w:hint="eastAsia" w:ascii="思源黑体 CN Normal" w:hAnsi="思源黑体 CN Normal" w:eastAsia="思源黑体 CN Regular"/>
                <w:lang w:eastAsia="zh-CN"/>
              </w:rPr>
            </w:pPr>
            <w:r>
              <w:rPr>
                <w:rFonts w:hint="eastAsia" w:ascii="思源黑体 CN Normal" w:hAnsi="思源黑体 CN Normal" w:eastAsia="思源黑体 CN Normal"/>
                <w:lang w:eastAsia="zh-CN"/>
              </w:rPr>
              <w:t>未按时返回的战队将被判违例，</w:t>
            </w:r>
            <w:r>
              <w:rPr>
                <w:rFonts w:hint="eastAsia" w:ascii="思源黑体 CN Normal" w:hAnsi="思源黑体 CN Normal" w:eastAsia="思源黑体 CN Normal"/>
                <w:lang w:val="en-US" w:eastAsia="zh-CN"/>
              </w:rPr>
              <w:t>两次</w:t>
            </w:r>
            <w:r>
              <w:rPr>
                <w:rFonts w:hint="eastAsia" w:ascii="思源黑体 CN Normal" w:hAnsi="思源黑体 CN Normal" w:eastAsia="思源黑体 CN Normal"/>
                <w:lang w:eastAsia="zh-CN"/>
              </w:rPr>
              <w:t>违规者将被判取消</w:t>
            </w:r>
            <w:r>
              <w:rPr>
                <w:rFonts w:hint="eastAsia" w:ascii="思源黑体 CN Normal" w:hAnsi="思源黑体 CN Normal" w:eastAsia="思源黑体 CN Normal"/>
                <w:lang w:val="en-US" w:eastAsia="zh-CN"/>
              </w:rPr>
              <w:t>本场</w:t>
            </w:r>
            <w:r>
              <w:rPr>
                <w:rFonts w:hint="eastAsia" w:ascii="思源黑体 CN Normal" w:hAnsi="思源黑体 CN Normal" w:eastAsia="思源黑体 CN Normal"/>
                <w:lang w:eastAsia="zh-CN"/>
              </w:rPr>
              <w:t>比赛资格。</w:t>
            </w:r>
          </w:p>
        </w:tc>
        <w:tc>
          <w:tcPr>
            <w:tcW w:w="750" w:type="dxa"/>
            <w:shd w:val="clear" w:color="auto" w:fill="FFFFFF"/>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532" w:type="dxa"/>
            <w:shd w:val="clear" w:color="auto" w:fill="FFFFFF"/>
            <w:vAlign w:val="center"/>
          </w:tcPr>
          <w:p>
            <w:pPr>
              <w:jc w:val="center"/>
              <w:rPr>
                <w:rFonts w:ascii="思源黑体 CN Normal" w:hAnsi="思源黑体 CN Normal" w:eastAsia="思源黑体 CN Normal"/>
              </w:rPr>
            </w:pPr>
          </w:p>
        </w:tc>
        <w:tc>
          <w:tcPr>
            <w:tcW w:w="655" w:type="dxa"/>
            <w:shd w:val="clear" w:color="auto" w:fill="FFFFFF"/>
            <w:vAlign w:val="center"/>
          </w:tcPr>
          <w:p>
            <w:pPr>
              <w:jc w:val="center"/>
              <w:rPr>
                <w:rFonts w:ascii="思源黑体 CN Normal" w:hAnsi="思源黑体 CN Normal" w:eastAsia="思源黑体 CN Normal"/>
              </w:rPr>
            </w:pPr>
          </w:p>
        </w:tc>
        <w:tc>
          <w:tcPr>
            <w:tcW w:w="655" w:type="dxa"/>
            <w:shd w:val="clear" w:color="auto" w:fill="FFFFFF"/>
            <w:vAlign w:val="center"/>
          </w:tcPr>
          <w:p>
            <w:pPr>
              <w:jc w:val="center"/>
              <w:rPr>
                <w:rFonts w:ascii="思源黑体 CN Normal" w:hAnsi="思源黑体 CN Normal" w:eastAsia="思源黑体 CN Normal"/>
              </w:rPr>
            </w:pPr>
          </w:p>
        </w:tc>
        <w:tc>
          <w:tcPr>
            <w:tcW w:w="941" w:type="dxa"/>
            <w:shd w:val="clear" w:color="auto" w:fill="FFFFFF"/>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1091" w:type="dxa"/>
            <w:shd w:val="clear" w:color="auto" w:fill="FFFFFF"/>
            <w:vAlign w:val="center"/>
          </w:tcPr>
          <w:p>
            <w:pPr>
              <w:jc w:val="center"/>
              <w:rPr>
                <w:rFonts w:ascii="思源黑体 CN Normal" w:hAnsi="思源黑体 CN Normal" w:eastAsia="思源黑体 CN Norm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shd w:val="clear" w:color="auto" w:fill="FFFFFF"/>
            <w:vAlign w:val="center"/>
          </w:tcPr>
          <w:p>
            <w:pPr>
              <w:jc w:val="center"/>
              <w:rPr>
                <w:rFonts w:ascii="思源黑体 CN Normal" w:hAnsi="思源黑体 CN Normal" w:eastAsia="思源黑体 CN Normal"/>
              </w:rPr>
            </w:pPr>
            <w:r>
              <w:rPr>
                <w:rFonts w:hint="eastAsia" w:ascii="思源黑体 CN Normal" w:hAnsi="思源黑体 CN Normal" w:eastAsia="思源黑体 CN Normal"/>
              </w:rPr>
              <w:t>使用违规材料</w:t>
            </w:r>
          </w:p>
        </w:tc>
        <w:tc>
          <w:tcPr>
            <w:tcW w:w="2687" w:type="dxa"/>
            <w:shd w:val="clear" w:color="auto" w:fill="FFFFFF"/>
            <w:vAlign w:val="center"/>
          </w:tcPr>
          <w:p>
            <w:pPr>
              <w:jc w:val="left"/>
              <w:rPr>
                <w:rFonts w:ascii="思源黑体 CN Normal" w:hAnsi="思源黑体 CN Normal" w:eastAsia="思源黑体 CN Normal"/>
              </w:rPr>
            </w:pPr>
            <w:r>
              <w:rPr>
                <w:rFonts w:hint="eastAsia" w:ascii="思源黑体 CN Normal" w:hAnsi="思源黑体 CN Normal" w:eastAsia="思源黑体 CN Normal"/>
              </w:rPr>
              <w:t>违规方机器人将被判禁用。如果机器人还要参加比赛，选手需要对机器人进行整改，并接受再次检查。两次违规将被判取消全场比赛资格。</w:t>
            </w:r>
          </w:p>
        </w:tc>
        <w:tc>
          <w:tcPr>
            <w:tcW w:w="750" w:type="dxa"/>
            <w:shd w:val="clear" w:color="auto" w:fill="FFFFFF"/>
            <w:vAlign w:val="center"/>
          </w:tcPr>
          <w:p>
            <w:pPr>
              <w:jc w:val="center"/>
              <w:rPr>
                <w:rFonts w:ascii="思源黑体 CN Normal" w:hAnsi="思源黑体 CN Normal" w:eastAsia="思源黑体 CN Normal"/>
              </w:rPr>
            </w:pPr>
          </w:p>
        </w:tc>
        <w:tc>
          <w:tcPr>
            <w:tcW w:w="532" w:type="dxa"/>
            <w:shd w:val="clear" w:color="auto" w:fill="FFFFFF"/>
            <w:vAlign w:val="center"/>
          </w:tcPr>
          <w:p>
            <w:pPr>
              <w:jc w:val="center"/>
              <w:rPr>
                <w:rFonts w:ascii="思源黑体 CN Normal" w:hAnsi="思源黑体 CN Normal" w:eastAsia="思源黑体 CN Normal"/>
              </w:rPr>
            </w:pPr>
          </w:p>
        </w:tc>
        <w:tc>
          <w:tcPr>
            <w:tcW w:w="655" w:type="dxa"/>
            <w:shd w:val="clear" w:color="auto" w:fill="FFFFFF"/>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655" w:type="dxa"/>
            <w:shd w:val="clear" w:color="auto" w:fill="FFFFFF"/>
            <w:vAlign w:val="center"/>
          </w:tcPr>
          <w:p>
            <w:pPr>
              <w:jc w:val="center"/>
              <w:rPr>
                <w:rFonts w:ascii="思源黑体 CN Normal" w:hAnsi="思源黑体 CN Normal" w:eastAsia="思源黑体 CN Normal"/>
              </w:rPr>
            </w:pPr>
          </w:p>
        </w:tc>
        <w:tc>
          <w:tcPr>
            <w:tcW w:w="941" w:type="dxa"/>
            <w:shd w:val="clear" w:color="auto" w:fill="FFFFFF"/>
            <w:vAlign w:val="center"/>
          </w:tcPr>
          <w:p>
            <w:pPr>
              <w:jc w:val="center"/>
              <w:rPr>
                <w:rFonts w:ascii="Segoe UI Emoji" w:hAnsi="Segoe UI Emoji" w:eastAsia="思源黑体 CN Normal" w:cs="Segoe UI Emoji"/>
              </w:rPr>
            </w:pPr>
          </w:p>
        </w:tc>
        <w:tc>
          <w:tcPr>
            <w:tcW w:w="1091" w:type="dxa"/>
            <w:shd w:val="clear" w:color="auto" w:fill="FFFFFF"/>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shd w:val="clear" w:color="auto" w:fill="FFFFFF"/>
            <w:vAlign w:val="center"/>
          </w:tcPr>
          <w:p>
            <w:pPr>
              <w:jc w:val="center"/>
              <w:rPr>
                <w:rFonts w:ascii="思源黑体 CN Normal" w:hAnsi="思源黑体 CN Normal" w:eastAsia="思源黑体 CN Normal"/>
              </w:rPr>
            </w:pPr>
            <w:r>
              <w:rPr>
                <w:rFonts w:hint="eastAsia" w:ascii="思源黑体 CN Normal" w:hAnsi="思源黑体 CN Normal" w:eastAsia="思源黑体 CN Normal"/>
              </w:rPr>
              <w:t>其他不安全因素</w:t>
            </w:r>
          </w:p>
        </w:tc>
        <w:tc>
          <w:tcPr>
            <w:tcW w:w="2687" w:type="dxa"/>
            <w:shd w:val="clear" w:color="auto" w:fill="FFFFFF"/>
            <w:vAlign w:val="center"/>
          </w:tcPr>
          <w:p>
            <w:pPr>
              <w:jc w:val="left"/>
              <w:rPr>
                <w:rFonts w:ascii="思源黑体 CN Normal" w:hAnsi="思源黑体 CN Normal" w:eastAsia="思源黑体 CN Normal"/>
              </w:rPr>
            </w:pPr>
            <w:r>
              <w:rPr>
                <w:rFonts w:hint="eastAsia" w:ascii="思源黑体 CN Normal" w:hAnsi="思源黑体 CN Normal" w:eastAsia="思源黑体 CN Normal"/>
              </w:rPr>
              <w:t>违规方机器人将被判禁用。如果机器人还要参加比赛，选手需要对机器人进行整改，并接受再次检查。两次违规将被判取消全场比赛资格。</w:t>
            </w:r>
          </w:p>
        </w:tc>
        <w:tc>
          <w:tcPr>
            <w:tcW w:w="750" w:type="dxa"/>
            <w:shd w:val="clear" w:color="auto" w:fill="FFFFFF"/>
            <w:vAlign w:val="center"/>
          </w:tcPr>
          <w:p>
            <w:pPr>
              <w:jc w:val="center"/>
              <w:rPr>
                <w:rFonts w:ascii="思源黑体 CN Normal" w:hAnsi="思源黑体 CN Normal" w:eastAsia="思源黑体 CN Normal"/>
              </w:rPr>
            </w:pPr>
          </w:p>
        </w:tc>
        <w:tc>
          <w:tcPr>
            <w:tcW w:w="532" w:type="dxa"/>
            <w:shd w:val="clear" w:color="auto" w:fill="FFFFFF"/>
            <w:vAlign w:val="center"/>
          </w:tcPr>
          <w:p>
            <w:pPr>
              <w:jc w:val="center"/>
              <w:rPr>
                <w:rFonts w:ascii="思源黑体 CN Normal" w:hAnsi="思源黑体 CN Normal" w:eastAsia="思源黑体 CN Normal"/>
              </w:rPr>
            </w:pPr>
          </w:p>
        </w:tc>
        <w:tc>
          <w:tcPr>
            <w:tcW w:w="655" w:type="dxa"/>
            <w:shd w:val="clear" w:color="auto" w:fill="FFFFFF"/>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655" w:type="dxa"/>
            <w:shd w:val="clear" w:color="auto" w:fill="FFFFFF"/>
            <w:vAlign w:val="center"/>
          </w:tcPr>
          <w:p>
            <w:pPr>
              <w:jc w:val="center"/>
              <w:rPr>
                <w:rFonts w:ascii="思源黑体 CN Normal" w:hAnsi="思源黑体 CN Normal" w:eastAsia="思源黑体 CN Normal"/>
              </w:rPr>
            </w:pPr>
          </w:p>
        </w:tc>
        <w:tc>
          <w:tcPr>
            <w:tcW w:w="941" w:type="dxa"/>
            <w:shd w:val="clear" w:color="auto" w:fill="FFFFFF"/>
            <w:vAlign w:val="center"/>
          </w:tcPr>
          <w:p>
            <w:pPr>
              <w:jc w:val="center"/>
              <w:rPr>
                <w:rFonts w:ascii="Segoe UI Emoji" w:hAnsi="Segoe UI Emoji" w:eastAsia="思源黑体 CN Normal" w:cs="Segoe UI Emoji"/>
              </w:rPr>
            </w:pPr>
          </w:p>
        </w:tc>
        <w:tc>
          <w:tcPr>
            <w:tcW w:w="1091" w:type="dxa"/>
            <w:shd w:val="clear" w:color="auto" w:fill="FFFFFF"/>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vAlign w:val="center"/>
          </w:tcPr>
          <w:p>
            <w:pPr>
              <w:jc w:val="center"/>
              <w:rPr>
                <w:rFonts w:ascii="思源黑体 CN Normal" w:hAnsi="思源黑体 CN Normal" w:eastAsia="思源黑体 CN Normal"/>
              </w:rPr>
            </w:pPr>
            <w:r>
              <w:rPr>
                <w:rFonts w:hint="eastAsia" w:ascii="思源黑体 CN Normal" w:hAnsi="思源黑体 CN Normal" w:eastAsia="思源黑体 CN Normal"/>
              </w:rPr>
              <w:t>参赛队员要求</w:t>
            </w:r>
          </w:p>
        </w:tc>
        <w:tc>
          <w:tcPr>
            <w:tcW w:w="2687" w:type="dxa"/>
            <w:vAlign w:val="center"/>
          </w:tcPr>
          <w:p>
            <w:pPr>
              <w:jc w:val="left"/>
              <w:rPr>
                <w:rFonts w:ascii="思源黑体 CN Normal" w:hAnsi="思源黑体 CN Normal" w:eastAsia="思源黑体 CN Normal"/>
              </w:rPr>
            </w:pPr>
            <w:r>
              <w:rPr>
                <w:rFonts w:hint="eastAsia" w:ascii="思源黑体 CN Normal" w:hAnsi="思源黑体 CN Normal" w:eastAsia="思源黑体 CN Normal"/>
              </w:rPr>
              <w:t>违规方将被判取消本场比赛资格，选手需要进行整改，并接受再次检查。两次违规将被判取消全场比赛资格。</w:t>
            </w:r>
          </w:p>
        </w:tc>
        <w:tc>
          <w:tcPr>
            <w:tcW w:w="750" w:type="dxa"/>
            <w:vAlign w:val="center"/>
          </w:tcPr>
          <w:p>
            <w:pPr>
              <w:jc w:val="center"/>
              <w:rPr>
                <w:rFonts w:ascii="思源黑体 CN Normal" w:hAnsi="思源黑体 CN Normal" w:eastAsia="思源黑体 CN Normal"/>
              </w:rPr>
            </w:pPr>
          </w:p>
        </w:tc>
        <w:tc>
          <w:tcPr>
            <w:tcW w:w="532" w:type="dxa"/>
            <w:vAlign w:val="center"/>
          </w:tcPr>
          <w:p>
            <w:pPr>
              <w:jc w:val="center"/>
              <w:rPr>
                <w:rFonts w:ascii="思源黑体 CN Normal" w:hAnsi="思源黑体 CN Normal" w:eastAsia="思源黑体 CN Normal"/>
              </w:rPr>
            </w:pPr>
          </w:p>
        </w:tc>
        <w:tc>
          <w:tcPr>
            <w:tcW w:w="655" w:type="dxa"/>
            <w:vAlign w:val="center"/>
          </w:tcPr>
          <w:p>
            <w:pPr>
              <w:jc w:val="center"/>
              <w:rPr>
                <w:rFonts w:ascii="思源黑体 CN Normal" w:hAnsi="思源黑体 CN Normal" w:eastAsia="思源黑体 CN Normal" w:cstheme="minorBidi"/>
                <w:kern w:val="2"/>
                <w:szCs w:val="22"/>
                <w:lang w:val="en-US" w:eastAsia="zh-CN" w:bidi="ar-SA"/>
              </w:rPr>
            </w:pPr>
          </w:p>
        </w:tc>
        <w:tc>
          <w:tcPr>
            <w:tcW w:w="655" w:type="dxa"/>
            <w:vAlign w:val="center"/>
          </w:tcPr>
          <w:p>
            <w:pPr>
              <w:jc w:val="center"/>
              <w:rPr>
                <w:rFonts w:ascii="思源黑体 CN Normal" w:hAnsi="思源黑体 CN Normal" w:eastAsia="思源黑体 CN Normal" w:cstheme="minorBidi"/>
                <w:kern w:val="2"/>
                <w:szCs w:val="22"/>
                <w:lang w:val="en-US" w:eastAsia="zh-CN" w:bidi="ar-SA"/>
              </w:rPr>
            </w:pPr>
          </w:p>
        </w:tc>
        <w:tc>
          <w:tcPr>
            <w:tcW w:w="941" w:type="dxa"/>
            <w:shd w:val="clear" w:color="auto" w:fill="FFFFFF"/>
            <w:vAlign w:val="center"/>
          </w:tcPr>
          <w:p>
            <w:pPr>
              <w:jc w:val="center"/>
              <w:rPr>
                <w:rFonts w:ascii="思源黑体 CN Normal" w:hAnsi="思源黑体 CN Normal" w:eastAsia="思源黑体 CN Normal" w:cstheme="minorBidi"/>
                <w:kern w:val="2"/>
                <w:szCs w:val="22"/>
                <w:lang w:val="en-US" w:eastAsia="zh-CN" w:bidi="ar-SA"/>
              </w:rPr>
            </w:pPr>
            <w:r>
              <w:rPr>
                <w:rFonts w:ascii="Segoe UI Emoji" w:hAnsi="Segoe UI Emoji" w:eastAsia="思源黑体 CN Normal" w:cs="Segoe UI Emoji"/>
              </w:rPr>
              <w:t>✔</w:t>
            </w:r>
          </w:p>
        </w:tc>
        <w:tc>
          <w:tcPr>
            <w:tcW w:w="1091" w:type="dxa"/>
            <w:shd w:val="clear" w:color="auto" w:fill="FFFFFF"/>
            <w:vAlign w:val="center"/>
          </w:tcPr>
          <w:p>
            <w:pPr>
              <w:jc w:val="center"/>
              <w:rPr>
                <w:rFonts w:ascii="思源黑体 CN Normal" w:hAnsi="思源黑体 CN Normal" w:eastAsia="思源黑体 CN Normal" w:cstheme="minorBidi"/>
                <w:kern w:val="2"/>
                <w:szCs w:val="22"/>
                <w:lang w:val="en-US" w:eastAsia="zh-CN" w:bidi="ar-SA"/>
              </w:rPr>
            </w:pPr>
            <w:r>
              <w:rPr>
                <w:rFonts w:ascii="Segoe UI Emoji" w:hAnsi="Segoe UI Emoji" w:eastAsia="思源黑体 CN Normal" w:cs="Segoe UI Emoji"/>
              </w:rPr>
              <w:t>✔</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shd w:val="clear" w:color="auto" w:fill="FFFFFF"/>
            <w:vAlign w:val="center"/>
          </w:tcPr>
          <w:p>
            <w:pPr>
              <w:jc w:val="center"/>
              <w:rPr>
                <w:rFonts w:hint="eastAsia" w:ascii="思源黑体 CN Normal" w:hAnsi="思源黑体 CN Normal" w:eastAsia="思源黑体 CN Normal"/>
              </w:rPr>
            </w:pPr>
            <w:r>
              <w:rPr>
                <w:rFonts w:hint="eastAsia" w:ascii="思源黑体 CN Normal" w:hAnsi="思源黑体 CN Normal" w:eastAsia="思源黑体 CN Normal"/>
              </w:rPr>
              <w:t>未按时到达赛场</w:t>
            </w:r>
          </w:p>
        </w:tc>
        <w:tc>
          <w:tcPr>
            <w:tcW w:w="2687" w:type="dxa"/>
            <w:vAlign w:val="center"/>
          </w:tcPr>
          <w:p>
            <w:pPr>
              <w:jc w:val="left"/>
              <w:rPr>
                <w:rFonts w:hint="eastAsia" w:ascii="思源黑体 CN Normal" w:hAnsi="思源黑体 CN Normal" w:eastAsia="思源黑体 CN Normal"/>
                <w:lang w:val="en-US" w:eastAsia="zh-CN"/>
              </w:rPr>
            </w:pPr>
            <w:r>
              <w:rPr>
                <w:rFonts w:hint="eastAsia" w:ascii="思源黑体 CN Normal" w:hAnsi="思源黑体 CN Normal" w:eastAsia="思源黑体 CN Normal"/>
                <w:lang w:val="en-US" w:eastAsia="zh-CN"/>
              </w:rPr>
              <w:t>违规方将被判取消本场比赛资格。</w:t>
            </w:r>
          </w:p>
        </w:tc>
        <w:tc>
          <w:tcPr>
            <w:tcW w:w="750" w:type="dxa"/>
            <w:vAlign w:val="center"/>
          </w:tcPr>
          <w:p>
            <w:pPr>
              <w:jc w:val="center"/>
              <w:rPr>
                <w:rFonts w:ascii="Segoe UI Emoji" w:hAnsi="Segoe UI Emoji" w:eastAsia="思源黑体 CN Normal" w:cs="Segoe UI Emoji"/>
              </w:rPr>
            </w:pPr>
          </w:p>
        </w:tc>
        <w:tc>
          <w:tcPr>
            <w:tcW w:w="532" w:type="dxa"/>
            <w:vAlign w:val="center"/>
          </w:tcPr>
          <w:p>
            <w:pPr>
              <w:jc w:val="center"/>
              <w:rPr>
                <w:rFonts w:ascii="思源黑体 CN Normal" w:hAnsi="思源黑体 CN Normal" w:eastAsia="思源黑体 CN Normal"/>
              </w:rPr>
            </w:pPr>
          </w:p>
        </w:tc>
        <w:tc>
          <w:tcPr>
            <w:tcW w:w="655" w:type="dxa"/>
            <w:vAlign w:val="center"/>
          </w:tcPr>
          <w:p>
            <w:pPr>
              <w:jc w:val="center"/>
              <w:rPr>
                <w:rFonts w:ascii="思源黑体 CN Normal" w:hAnsi="思源黑体 CN Normal" w:eastAsia="思源黑体 CN Normal"/>
              </w:rPr>
            </w:pPr>
          </w:p>
        </w:tc>
        <w:tc>
          <w:tcPr>
            <w:tcW w:w="655" w:type="dxa"/>
            <w:vAlign w:val="center"/>
          </w:tcPr>
          <w:p>
            <w:pPr>
              <w:jc w:val="center"/>
              <w:rPr>
                <w:rFonts w:ascii="思源黑体 CN Normal" w:hAnsi="思源黑体 CN Normal" w:eastAsia="思源黑体 CN Normal"/>
              </w:rPr>
            </w:pPr>
          </w:p>
        </w:tc>
        <w:tc>
          <w:tcPr>
            <w:tcW w:w="941" w:type="dxa"/>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1091" w:type="dxa"/>
            <w:vAlign w:val="center"/>
          </w:tcPr>
          <w:p>
            <w:pPr>
              <w:jc w:val="center"/>
              <w:rPr>
                <w:rFonts w:ascii="思源黑体 CN Normal" w:hAnsi="思源黑体 CN Normal" w:eastAsia="思源黑体 CN Norm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shd w:val="clear" w:color="auto" w:fill="FFFFFF"/>
            <w:vAlign w:val="center"/>
          </w:tcPr>
          <w:p>
            <w:pPr>
              <w:jc w:val="center"/>
              <w:rPr>
                <w:rFonts w:hint="eastAsia" w:ascii="思源黑体 CN Normal" w:hAnsi="思源黑体 CN Normal" w:eastAsia="思源黑体 CN Normal"/>
              </w:rPr>
            </w:pPr>
            <w:r>
              <w:rPr>
                <w:rFonts w:hint="eastAsia" w:ascii="思源黑体 CN Normal" w:hAnsi="思源黑体 CN Normal" w:eastAsia="思源黑体 CN Normal"/>
              </w:rPr>
              <w:t>参赛队员站位</w:t>
            </w:r>
          </w:p>
        </w:tc>
        <w:tc>
          <w:tcPr>
            <w:tcW w:w="2687" w:type="dxa"/>
            <w:vAlign w:val="center"/>
          </w:tcPr>
          <w:p>
            <w:pPr>
              <w:jc w:val="left"/>
              <w:rPr>
                <w:rFonts w:hint="eastAsia" w:ascii="思源黑体 CN Normal" w:hAnsi="思源黑体 CN Normal" w:eastAsia="思源黑体 CN Normal"/>
                <w:lang w:val="en-US" w:eastAsia="zh-CN"/>
              </w:rPr>
            </w:pPr>
            <w:r>
              <w:rPr>
                <w:rFonts w:hint="eastAsia" w:ascii="思源黑体 CN Normal" w:hAnsi="思源黑体 CN Normal" w:eastAsia="思源黑体 CN Normal"/>
                <w:lang w:val="en-US" w:eastAsia="zh-CN"/>
              </w:rPr>
              <w:t>违规方将被判口头警告，两次违规将被判违例。情节恶劣者取消本场比赛资格。</w:t>
            </w:r>
          </w:p>
        </w:tc>
        <w:tc>
          <w:tcPr>
            <w:tcW w:w="750"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532" w:type="dxa"/>
            <w:vAlign w:val="center"/>
          </w:tcPr>
          <w:p>
            <w:pPr>
              <w:jc w:val="center"/>
              <w:rPr>
                <w:rFonts w:ascii="思源黑体 CN Normal" w:hAnsi="思源黑体 CN Normal" w:eastAsia="思源黑体 CN Normal"/>
              </w:rPr>
            </w:pPr>
          </w:p>
        </w:tc>
        <w:tc>
          <w:tcPr>
            <w:tcW w:w="655" w:type="dxa"/>
            <w:vAlign w:val="center"/>
          </w:tcPr>
          <w:p>
            <w:pPr>
              <w:jc w:val="center"/>
              <w:rPr>
                <w:rFonts w:ascii="思源黑体 CN Normal" w:hAnsi="思源黑体 CN Normal" w:eastAsia="思源黑体 CN Normal"/>
              </w:rPr>
            </w:pPr>
          </w:p>
        </w:tc>
        <w:tc>
          <w:tcPr>
            <w:tcW w:w="655" w:type="dxa"/>
            <w:vAlign w:val="center"/>
          </w:tcPr>
          <w:p>
            <w:pPr>
              <w:jc w:val="center"/>
              <w:rPr>
                <w:rFonts w:ascii="思源黑体 CN Normal" w:hAnsi="思源黑体 CN Normal" w:eastAsia="思源黑体 CN Normal"/>
              </w:rPr>
            </w:pPr>
          </w:p>
        </w:tc>
        <w:tc>
          <w:tcPr>
            <w:tcW w:w="941" w:type="dxa"/>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1091" w:type="dxa"/>
            <w:vAlign w:val="center"/>
          </w:tcPr>
          <w:p>
            <w:pPr>
              <w:jc w:val="center"/>
              <w:rPr>
                <w:rFonts w:ascii="思源黑体 CN Normal" w:hAnsi="思源黑体 CN Normal" w:eastAsia="思源黑体 CN Norm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shd w:val="clear" w:color="auto" w:fill="FFFFFF"/>
            <w:vAlign w:val="center"/>
          </w:tcPr>
          <w:p>
            <w:pPr>
              <w:jc w:val="center"/>
              <w:rPr>
                <w:rFonts w:ascii="思源黑体 CN Normal" w:hAnsi="思源黑体 CN Normal" w:eastAsia="思源黑体 CN Normal"/>
              </w:rPr>
            </w:pPr>
            <w:r>
              <w:rPr>
                <w:rFonts w:hint="eastAsia" w:ascii="思源黑体 CN Normal" w:hAnsi="思源黑体 CN Normal" w:eastAsia="思源黑体 CN Normal"/>
              </w:rPr>
              <w:t>淘汰赛</w:t>
            </w:r>
            <w:r>
              <w:rPr>
                <w:rFonts w:hint="eastAsia" w:ascii="思源黑体 CN Normal" w:hAnsi="思源黑体 CN Normal" w:eastAsia="思源黑体 CN Normal"/>
                <w:lang w:val="en-US" w:eastAsia="zh-CN"/>
              </w:rPr>
              <w:t>超时调试</w:t>
            </w:r>
            <w:r>
              <w:rPr>
                <w:rFonts w:hint="eastAsia" w:ascii="思源黑体 CN Normal" w:hAnsi="思源黑体 CN Normal" w:eastAsia="思源黑体 CN Normal"/>
              </w:rPr>
              <w:t>则</w:t>
            </w:r>
          </w:p>
        </w:tc>
        <w:tc>
          <w:tcPr>
            <w:tcW w:w="2687" w:type="dxa"/>
            <w:vAlign w:val="center"/>
          </w:tcPr>
          <w:p>
            <w:pPr>
              <w:jc w:val="left"/>
              <w:rPr>
                <w:rFonts w:hint="eastAsia" w:ascii="思源黑体 CN Normal" w:hAnsi="思源黑体 CN Normal" w:eastAsia="思源黑体 CN Normal"/>
                <w:lang w:eastAsia="zh-CN"/>
              </w:rPr>
            </w:pPr>
            <w:r>
              <w:rPr>
                <w:rFonts w:hint="eastAsia" w:ascii="思源黑体 CN Normal" w:hAnsi="思源黑体 CN Normal" w:eastAsia="思源黑体 CN Normal"/>
                <w:lang w:eastAsia="zh-CN"/>
              </w:rPr>
              <w:t>违规方将被判警告，两次违规将被判违例。</w:t>
            </w:r>
          </w:p>
        </w:tc>
        <w:tc>
          <w:tcPr>
            <w:tcW w:w="750" w:type="dxa"/>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532" w:type="dxa"/>
            <w:vAlign w:val="center"/>
          </w:tcPr>
          <w:p>
            <w:pPr>
              <w:jc w:val="center"/>
              <w:rPr>
                <w:rFonts w:ascii="思源黑体 CN Normal" w:hAnsi="思源黑体 CN Normal" w:eastAsia="思源黑体 CN Normal"/>
              </w:rPr>
            </w:pPr>
          </w:p>
        </w:tc>
        <w:tc>
          <w:tcPr>
            <w:tcW w:w="655" w:type="dxa"/>
            <w:vAlign w:val="center"/>
          </w:tcPr>
          <w:p>
            <w:pPr>
              <w:jc w:val="center"/>
              <w:rPr>
                <w:rFonts w:ascii="思源黑体 CN Normal" w:hAnsi="思源黑体 CN Normal" w:eastAsia="思源黑体 CN Normal"/>
              </w:rPr>
            </w:pPr>
          </w:p>
        </w:tc>
        <w:tc>
          <w:tcPr>
            <w:tcW w:w="655" w:type="dxa"/>
            <w:vAlign w:val="center"/>
          </w:tcPr>
          <w:p>
            <w:pPr>
              <w:jc w:val="center"/>
              <w:rPr>
                <w:rFonts w:ascii="思源黑体 CN Normal" w:hAnsi="思源黑体 CN Normal" w:eastAsia="思源黑体 CN Normal"/>
              </w:rPr>
            </w:pPr>
          </w:p>
        </w:tc>
        <w:tc>
          <w:tcPr>
            <w:tcW w:w="941" w:type="dxa"/>
            <w:vAlign w:val="center"/>
          </w:tcPr>
          <w:p>
            <w:pPr>
              <w:jc w:val="center"/>
              <w:rPr>
                <w:rFonts w:ascii="思源黑体 CN Normal" w:hAnsi="思源黑体 CN Normal" w:eastAsia="思源黑体 CN Normal"/>
              </w:rPr>
            </w:pPr>
          </w:p>
        </w:tc>
        <w:tc>
          <w:tcPr>
            <w:tcW w:w="1091" w:type="dxa"/>
            <w:vAlign w:val="center"/>
          </w:tcPr>
          <w:p>
            <w:pPr>
              <w:jc w:val="center"/>
              <w:rPr>
                <w:rFonts w:ascii="思源黑体 CN Normal" w:hAnsi="思源黑体 CN Normal" w:eastAsia="思源黑体 CN Norm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shd w:val="clear" w:color="auto" w:fill="FFFFFF"/>
            <w:vAlign w:val="center"/>
          </w:tcPr>
          <w:p>
            <w:pPr>
              <w:jc w:val="center"/>
              <w:rPr>
                <w:rFonts w:ascii="思源黑体 CN Normal" w:hAnsi="思源黑体 CN Normal" w:eastAsia="思源黑体 CN Normal"/>
              </w:rPr>
            </w:pPr>
            <w:r>
              <w:rPr>
                <w:rFonts w:hint="eastAsia" w:ascii="思源黑体 CN Normal" w:hAnsi="思源黑体 CN Normal" w:eastAsia="思源黑体 CN Normal"/>
              </w:rPr>
              <w:t>提前开始比赛</w:t>
            </w:r>
          </w:p>
        </w:tc>
        <w:tc>
          <w:tcPr>
            <w:tcW w:w="2687" w:type="dxa"/>
            <w:vAlign w:val="center"/>
          </w:tcPr>
          <w:p>
            <w:pPr>
              <w:jc w:val="left"/>
              <w:rPr>
                <w:rFonts w:ascii="思源黑体 CN Normal" w:hAnsi="思源黑体 CN Normal" w:eastAsia="思源黑体 CN Normal"/>
              </w:rPr>
            </w:pPr>
            <w:r>
              <w:rPr>
                <w:rFonts w:hint="eastAsia" w:ascii="思源黑体 CN Normal" w:hAnsi="思源黑体 CN Normal" w:eastAsia="思源黑体 CN Normal"/>
              </w:rPr>
              <w:t>违规方将被判违例，两次违规将被判黄牌。</w:t>
            </w:r>
          </w:p>
        </w:tc>
        <w:tc>
          <w:tcPr>
            <w:tcW w:w="750" w:type="dxa"/>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532" w:type="dxa"/>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655" w:type="dxa"/>
            <w:vAlign w:val="center"/>
          </w:tcPr>
          <w:p>
            <w:pPr>
              <w:jc w:val="center"/>
              <w:rPr>
                <w:rFonts w:ascii="思源黑体 CN Normal" w:hAnsi="思源黑体 CN Normal" w:eastAsia="思源黑体 CN Normal"/>
              </w:rPr>
            </w:pPr>
          </w:p>
        </w:tc>
        <w:tc>
          <w:tcPr>
            <w:tcW w:w="655" w:type="dxa"/>
            <w:vAlign w:val="center"/>
          </w:tcPr>
          <w:p>
            <w:pPr>
              <w:jc w:val="center"/>
              <w:rPr>
                <w:rFonts w:ascii="思源黑体 CN Normal" w:hAnsi="思源黑体 CN Normal" w:eastAsia="思源黑体 CN Normal"/>
              </w:rPr>
            </w:pPr>
          </w:p>
        </w:tc>
        <w:tc>
          <w:tcPr>
            <w:tcW w:w="941" w:type="dxa"/>
            <w:vAlign w:val="center"/>
          </w:tcPr>
          <w:p>
            <w:pPr>
              <w:jc w:val="center"/>
              <w:rPr>
                <w:rFonts w:ascii="思源黑体 CN Normal" w:hAnsi="思源黑体 CN Normal" w:eastAsia="思源黑体 CN Normal"/>
              </w:rPr>
            </w:pPr>
          </w:p>
        </w:tc>
        <w:tc>
          <w:tcPr>
            <w:tcW w:w="1091" w:type="dxa"/>
            <w:vAlign w:val="center"/>
          </w:tcPr>
          <w:p>
            <w:pPr>
              <w:jc w:val="center"/>
              <w:rPr>
                <w:rFonts w:ascii="思源黑体 CN Normal" w:hAnsi="思源黑体 CN Normal" w:eastAsia="思源黑体 CN Norm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shd w:val="clear" w:color="auto" w:fill="FFFFFF"/>
            <w:vAlign w:val="center"/>
          </w:tcPr>
          <w:p>
            <w:pPr>
              <w:jc w:val="center"/>
              <w:rPr>
                <w:rFonts w:ascii="思源黑体 CN Normal" w:hAnsi="思源黑体 CN Normal" w:eastAsia="思源黑体 CN Normal"/>
              </w:rPr>
            </w:pPr>
            <w:r>
              <w:rPr>
                <w:rFonts w:hint="eastAsia" w:ascii="思源黑体 CN Normal" w:hAnsi="思源黑体 CN Normal" w:eastAsia="思源黑体 CN Normal"/>
              </w:rPr>
              <w:t>延迟结束比赛</w:t>
            </w:r>
          </w:p>
        </w:tc>
        <w:tc>
          <w:tcPr>
            <w:tcW w:w="2687" w:type="dxa"/>
            <w:vAlign w:val="center"/>
          </w:tcPr>
          <w:p>
            <w:pPr>
              <w:jc w:val="left"/>
              <w:rPr>
                <w:rFonts w:hint="eastAsia" w:ascii="思源黑体 CN Normal" w:hAnsi="思源黑体 CN Normal" w:eastAsia="思源黑体 CN Normal"/>
                <w:lang w:val="en-US" w:eastAsia="zh-CN"/>
              </w:rPr>
            </w:pPr>
            <w:r>
              <w:rPr>
                <w:rFonts w:hint="eastAsia" w:ascii="思源黑体 CN Normal" w:hAnsi="思源黑体 CN Normal" w:eastAsia="思源黑体 CN Normal"/>
                <w:lang w:val="en-US" w:eastAsia="zh-CN"/>
              </w:rPr>
              <w:t xml:space="preserve">违规方将被判违例，若延迟结束比赛为违规方带来比赛优势，裁判应判无效得分，并尽量恢复场地原有状态。 </w:t>
            </w:r>
          </w:p>
        </w:tc>
        <w:tc>
          <w:tcPr>
            <w:tcW w:w="750" w:type="dxa"/>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532" w:type="dxa"/>
            <w:vAlign w:val="center"/>
          </w:tcPr>
          <w:p>
            <w:pPr>
              <w:jc w:val="center"/>
              <w:rPr>
                <w:rFonts w:ascii="思源黑体 CN Normal" w:hAnsi="思源黑体 CN Normal" w:eastAsia="思源黑体 CN Normal"/>
              </w:rPr>
            </w:pPr>
          </w:p>
        </w:tc>
        <w:tc>
          <w:tcPr>
            <w:tcW w:w="655" w:type="dxa"/>
            <w:vAlign w:val="center"/>
          </w:tcPr>
          <w:p>
            <w:pPr>
              <w:jc w:val="center"/>
              <w:rPr>
                <w:rFonts w:ascii="思源黑体 CN Normal" w:hAnsi="思源黑体 CN Normal" w:eastAsia="思源黑体 CN Normal"/>
              </w:rPr>
            </w:pPr>
          </w:p>
        </w:tc>
        <w:tc>
          <w:tcPr>
            <w:tcW w:w="655" w:type="dxa"/>
            <w:vAlign w:val="center"/>
          </w:tcPr>
          <w:p>
            <w:pPr>
              <w:jc w:val="center"/>
              <w:rPr>
                <w:rFonts w:ascii="思源黑体 CN Normal" w:hAnsi="思源黑体 CN Normal" w:eastAsia="思源黑体 CN Normal"/>
              </w:rPr>
            </w:pPr>
          </w:p>
        </w:tc>
        <w:tc>
          <w:tcPr>
            <w:tcW w:w="941" w:type="dxa"/>
            <w:vAlign w:val="center"/>
          </w:tcPr>
          <w:p>
            <w:pPr>
              <w:jc w:val="center"/>
              <w:rPr>
                <w:rFonts w:ascii="思源黑体 CN Normal" w:hAnsi="思源黑体 CN Normal" w:eastAsia="思源黑体 CN Normal"/>
              </w:rPr>
            </w:pPr>
          </w:p>
        </w:tc>
        <w:tc>
          <w:tcPr>
            <w:tcW w:w="1091" w:type="dxa"/>
            <w:vAlign w:val="center"/>
          </w:tcPr>
          <w:p>
            <w:pPr>
              <w:jc w:val="center"/>
              <w:rPr>
                <w:rFonts w:ascii="思源黑体 CN Normal" w:hAnsi="思源黑体 CN Normal" w:eastAsia="思源黑体 CN Norm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shd w:val="clear" w:color="auto" w:fill="FFFFFF"/>
            <w:vAlign w:val="center"/>
          </w:tcPr>
          <w:p>
            <w:pPr>
              <w:jc w:val="center"/>
              <w:rPr>
                <w:rFonts w:ascii="思源黑体 CN Normal" w:hAnsi="思源黑体 CN Normal" w:eastAsia="思源黑体 CN Normal"/>
              </w:rPr>
            </w:pPr>
            <w:r>
              <w:rPr>
                <w:rFonts w:hint="eastAsia" w:ascii="思源黑体 CN Normal" w:hAnsi="思源黑体 CN Normal" w:eastAsia="思源黑体 CN Normal"/>
              </w:rPr>
              <w:t>携带违规电子设备</w:t>
            </w:r>
          </w:p>
        </w:tc>
        <w:tc>
          <w:tcPr>
            <w:tcW w:w="2687" w:type="dxa"/>
            <w:vAlign w:val="center"/>
          </w:tcPr>
          <w:p>
            <w:pPr>
              <w:jc w:val="left"/>
              <w:rPr>
                <w:rFonts w:ascii="思源黑体 CN Normal" w:hAnsi="思源黑体 CN Normal" w:eastAsia="思源黑体 CN Normal"/>
              </w:rPr>
            </w:pPr>
            <w:r>
              <w:rPr>
                <w:rFonts w:hint="eastAsia" w:ascii="思源黑体 CN Normal" w:hAnsi="思源黑体 CN Normal" w:eastAsia="思源黑体 CN Normal"/>
              </w:rPr>
              <w:t>违规方将被判违例，二次违规将被判黄牌，情节恶劣者取消本场比赛资格。</w:t>
            </w:r>
          </w:p>
        </w:tc>
        <w:tc>
          <w:tcPr>
            <w:tcW w:w="750" w:type="dxa"/>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532" w:type="dxa"/>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655" w:type="dxa"/>
            <w:vAlign w:val="center"/>
          </w:tcPr>
          <w:p>
            <w:pPr>
              <w:jc w:val="center"/>
              <w:rPr>
                <w:rFonts w:ascii="思源黑体 CN Normal" w:hAnsi="思源黑体 CN Normal" w:eastAsia="思源黑体 CN Normal"/>
              </w:rPr>
            </w:pPr>
          </w:p>
        </w:tc>
        <w:tc>
          <w:tcPr>
            <w:tcW w:w="655" w:type="dxa"/>
            <w:vAlign w:val="center"/>
          </w:tcPr>
          <w:p>
            <w:pPr>
              <w:jc w:val="center"/>
              <w:rPr>
                <w:rFonts w:ascii="思源黑体 CN Normal" w:hAnsi="思源黑体 CN Normal" w:eastAsia="思源黑体 CN Normal"/>
              </w:rPr>
            </w:pPr>
          </w:p>
        </w:tc>
        <w:tc>
          <w:tcPr>
            <w:tcW w:w="941" w:type="dxa"/>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1091" w:type="dxa"/>
            <w:vAlign w:val="center"/>
          </w:tcPr>
          <w:p>
            <w:pPr>
              <w:jc w:val="center"/>
              <w:rPr>
                <w:rFonts w:ascii="思源黑体 CN Normal" w:hAnsi="思源黑体 CN Normal" w:eastAsia="思源黑体 CN Norm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shd w:val="clear" w:color="auto" w:fill="FFFFFF"/>
            <w:vAlign w:val="center"/>
          </w:tcPr>
          <w:p>
            <w:pPr>
              <w:jc w:val="center"/>
              <w:rPr>
                <w:rFonts w:ascii="思源黑体 CN Normal" w:hAnsi="思源黑体 CN Normal" w:eastAsia="思源黑体 CN Normal"/>
              </w:rPr>
            </w:pPr>
            <w:r>
              <w:rPr>
                <w:rFonts w:hint="eastAsia" w:ascii="思源黑体 CN Normal" w:hAnsi="思源黑体 CN Normal" w:eastAsia="思源黑体 CN Normal"/>
              </w:rPr>
              <w:t>自动控制阶段违规操控</w:t>
            </w:r>
          </w:p>
        </w:tc>
        <w:tc>
          <w:tcPr>
            <w:tcW w:w="2687" w:type="dxa"/>
            <w:vAlign w:val="center"/>
          </w:tcPr>
          <w:p>
            <w:pPr>
              <w:jc w:val="left"/>
              <w:rPr>
                <w:rFonts w:ascii="思源黑体 CN Normal" w:hAnsi="思源黑体 CN Normal" w:eastAsia="思源黑体 CN Normal"/>
              </w:rPr>
            </w:pPr>
            <w:r>
              <w:rPr>
                <w:rFonts w:hint="eastAsia" w:ascii="思源黑体 CN Normal" w:hAnsi="思源黑体 CN Normal" w:eastAsia="思源黑体 CN Normal"/>
              </w:rPr>
              <w:t>违规方将被判违例，自动控制阶段使用蓝牙手柄将直接判罚红牌，情节恶劣者取消本场比赛资格。</w:t>
            </w:r>
          </w:p>
        </w:tc>
        <w:tc>
          <w:tcPr>
            <w:tcW w:w="750" w:type="dxa"/>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532" w:type="dxa"/>
            <w:vAlign w:val="center"/>
          </w:tcPr>
          <w:p>
            <w:pPr>
              <w:jc w:val="center"/>
              <w:rPr>
                <w:rFonts w:ascii="思源黑体 CN Normal" w:hAnsi="思源黑体 CN Normal" w:eastAsia="思源黑体 CN Normal"/>
              </w:rPr>
            </w:pPr>
          </w:p>
        </w:tc>
        <w:tc>
          <w:tcPr>
            <w:tcW w:w="655"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655" w:type="dxa"/>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941" w:type="dxa"/>
            <w:vAlign w:val="center"/>
          </w:tcPr>
          <w:p>
            <w:pPr>
              <w:jc w:val="center"/>
              <w:rPr>
                <w:rFonts w:ascii="Segoe UI Emoji" w:hAnsi="Segoe UI Emoji" w:eastAsia="思源黑体 CN Normal" w:cs="Segoe UI Emoji"/>
              </w:rPr>
            </w:pPr>
          </w:p>
        </w:tc>
        <w:tc>
          <w:tcPr>
            <w:tcW w:w="1091" w:type="dxa"/>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shd w:val="clear" w:color="auto" w:fill="FFFFFF"/>
            <w:vAlign w:val="center"/>
          </w:tcPr>
          <w:p>
            <w:pPr>
              <w:jc w:val="center"/>
              <w:rPr>
                <w:rFonts w:ascii="思源黑体 CN Normal" w:hAnsi="思源黑体 CN Normal" w:eastAsia="思源黑体 CN Normal"/>
              </w:rPr>
            </w:pPr>
            <w:r>
              <w:rPr>
                <w:rFonts w:hint="eastAsia" w:ascii="思源黑体 CN Normal" w:hAnsi="思源黑体 CN Normal" w:eastAsia="思源黑体 CN Normal"/>
              </w:rPr>
              <w:t>操控被禁用的机器人</w:t>
            </w:r>
          </w:p>
        </w:tc>
        <w:tc>
          <w:tcPr>
            <w:tcW w:w="2687" w:type="dxa"/>
            <w:shd w:val="clear" w:color="auto" w:fill="FFFFFF"/>
            <w:vAlign w:val="center"/>
          </w:tcPr>
          <w:p>
            <w:pPr>
              <w:jc w:val="left"/>
              <w:rPr>
                <w:rFonts w:ascii="思源黑体 CN Normal" w:hAnsi="思源黑体 CN Normal" w:eastAsia="思源黑体 CN Normal"/>
              </w:rPr>
            </w:pPr>
            <w:r>
              <w:rPr>
                <w:rFonts w:hint="eastAsia" w:ascii="思源黑体 CN Normal" w:hAnsi="思源黑体 CN Normal" w:eastAsia="思源黑体 CN Normal"/>
              </w:rPr>
              <w:t>违规者取消本场比赛资格。</w:t>
            </w:r>
          </w:p>
        </w:tc>
        <w:tc>
          <w:tcPr>
            <w:tcW w:w="750" w:type="dxa"/>
            <w:vAlign w:val="center"/>
          </w:tcPr>
          <w:p>
            <w:pPr>
              <w:jc w:val="center"/>
              <w:rPr>
                <w:rFonts w:ascii="思源黑体 CN Normal" w:hAnsi="思源黑体 CN Normal" w:eastAsia="思源黑体 CN Normal"/>
              </w:rPr>
            </w:pPr>
          </w:p>
        </w:tc>
        <w:tc>
          <w:tcPr>
            <w:tcW w:w="532" w:type="dxa"/>
            <w:shd w:val="clear" w:color="auto" w:fill="FFFFFF"/>
            <w:vAlign w:val="center"/>
          </w:tcPr>
          <w:p>
            <w:pPr>
              <w:jc w:val="center"/>
              <w:rPr>
                <w:rFonts w:ascii="思源黑体 CN Normal" w:hAnsi="思源黑体 CN Normal" w:eastAsia="思源黑体 CN Normal"/>
              </w:rPr>
            </w:pPr>
          </w:p>
        </w:tc>
        <w:tc>
          <w:tcPr>
            <w:tcW w:w="655" w:type="dxa"/>
            <w:shd w:val="clear" w:color="auto" w:fill="FFFFFF"/>
            <w:vAlign w:val="center"/>
          </w:tcPr>
          <w:p>
            <w:pPr>
              <w:jc w:val="center"/>
              <w:rPr>
                <w:rFonts w:ascii="思源黑体 CN Normal" w:hAnsi="思源黑体 CN Normal" w:eastAsia="思源黑体 CN Normal"/>
              </w:rPr>
            </w:pPr>
          </w:p>
        </w:tc>
        <w:tc>
          <w:tcPr>
            <w:tcW w:w="655" w:type="dxa"/>
            <w:shd w:val="clear" w:color="auto" w:fill="FFFFFF"/>
            <w:vAlign w:val="center"/>
          </w:tcPr>
          <w:p>
            <w:pPr>
              <w:jc w:val="center"/>
              <w:rPr>
                <w:rFonts w:ascii="思源黑体 CN Normal" w:hAnsi="思源黑体 CN Normal" w:eastAsia="思源黑体 CN Normal"/>
              </w:rPr>
            </w:pPr>
          </w:p>
        </w:tc>
        <w:tc>
          <w:tcPr>
            <w:tcW w:w="941" w:type="dxa"/>
            <w:shd w:val="clear" w:color="auto" w:fill="FFFFFF"/>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1091" w:type="dxa"/>
            <w:shd w:val="clear" w:color="auto" w:fill="FFFFFF"/>
            <w:vAlign w:val="center"/>
          </w:tcPr>
          <w:p>
            <w:pPr>
              <w:jc w:val="center"/>
              <w:rPr>
                <w:rFonts w:ascii="思源黑体 CN Normal" w:hAnsi="思源黑体 CN Normal" w:eastAsia="思源黑体 CN Norm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shd w:val="clear" w:color="auto" w:fill="FFFFFF"/>
            <w:vAlign w:val="center"/>
          </w:tcPr>
          <w:p>
            <w:pPr>
              <w:jc w:val="center"/>
              <w:rPr>
                <w:rFonts w:ascii="思源黑体 CN Normal" w:hAnsi="思源黑体 CN Normal" w:eastAsia="思源黑体 CN Normal"/>
              </w:rPr>
            </w:pPr>
            <w:r>
              <w:rPr>
                <w:rFonts w:ascii="思源黑体 CN Normal" w:hAnsi="思源黑体 CN Normal" w:eastAsia="思源黑体 CN Normal" w:cs="Times New Roman"/>
              </w:rPr>
              <w:t>机器人在场地上遗留零部件</w:t>
            </w:r>
          </w:p>
        </w:tc>
        <w:tc>
          <w:tcPr>
            <w:tcW w:w="2687" w:type="dxa"/>
            <w:vAlign w:val="center"/>
          </w:tcPr>
          <w:p>
            <w:pPr>
              <w:jc w:val="left"/>
              <w:rPr>
                <w:rFonts w:ascii="思源黑体 CN Normal" w:hAnsi="思源黑体 CN Normal" w:eastAsia="思源黑体 CN Normal"/>
              </w:rPr>
            </w:pPr>
            <w:r>
              <w:rPr>
                <w:rFonts w:hint="eastAsia" w:ascii="思源黑体 CN Normal" w:hAnsi="思源黑体 CN Normal" w:eastAsia="思源黑体 CN Normal" w:cs="Times New Roman"/>
              </w:rPr>
              <w:t>若影响比赛进行，违规方将被判违例，两次违规将被判黄牌</w:t>
            </w:r>
            <w:r>
              <w:rPr>
                <w:rFonts w:ascii="思源黑体 CN Normal" w:hAnsi="思源黑体 CN Normal" w:eastAsia="思源黑体 CN Normal" w:cs="Times New Roman"/>
              </w:rPr>
              <w:t>。</w:t>
            </w:r>
          </w:p>
        </w:tc>
        <w:tc>
          <w:tcPr>
            <w:tcW w:w="750" w:type="dxa"/>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532" w:type="dxa"/>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655" w:type="dxa"/>
            <w:vAlign w:val="center"/>
          </w:tcPr>
          <w:p>
            <w:pPr>
              <w:jc w:val="center"/>
              <w:rPr>
                <w:rFonts w:ascii="思源黑体 CN Normal" w:hAnsi="思源黑体 CN Normal" w:eastAsia="思源黑体 CN Normal"/>
              </w:rPr>
            </w:pPr>
          </w:p>
        </w:tc>
        <w:tc>
          <w:tcPr>
            <w:tcW w:w="655" w:type="dxa"/>
            <w:vAlign w:val="center"/>
          </w:tcPr>
          <w:p>
            <w:pPr>
              <w:jc w:val="center"/>
              <w:rPr>
                <w:rFonts w:ascii="思源黑体 CN Normal" w:hAnsi="思源黑体 CN Normal" w:eastAsia="思源黑体 CN Normal"/>
              </w:rPr>
            </w:pPr>
          </w:p>
        </w:tc>
        <w:tc>
          <w:tcPr>
            <w:tcW w:w="941" w:type="dxa"/>
            <w:vAlign w:val="center"/>
          </w:tcPr>
          <w:p>
            <w:pPr>
              <w:jc w:val="center"/>
              <w:rPr>
                <w:rFonts w:ascii="思源黑体 CN Normal" w:hAnsi="思源黑体 CN Normal" w:eastAsia="思源黑体 CN Normal"/>
              </w:rPr>
            </w:pPr>
          </w:p>
        </w:tc>
        <w:tc>
          <w:tcPr>
            <w:tcW w:w="1091" w:type="dxa"/>
            <w:vAlign w:val="center"/>
          </w:tcPr>
          <w:p>
            <w:pPr>
              <w:jc w:val="center"/>
              <w:rPr>
                <w:rFonts w:ascii="思源黑体 CN Normal" w:hAnsi="思源黑体 CN Normal" w:eastAsia="思源黑体 CN Norm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shd w:val="clear" w:color="auto" w:fill="FFFFFF"/>
            <w:vAlign w:val="center"/>
          </w:tcPr>
          <w:p>
            <w:pPr>
              <w:jc w:val="center"/>
              <w:rPr>
                <w:rFonts w:ascii="思源黑体 CN Normal" w:hAnsi="思源黑体 CN Normal" w:eastAsia="思源黑体 CN Normal" w:cs="Times New Roman"/>
              </w:rPr>
            </w:pPr>
            <w:r>
              <w:rPr>
                <w:rFonts w:hint="eastAsia" w:ascii="思源黑体 CN Normal" w:hAnsi="思源黑体 CN Normal" w:eastAsia="思源黑体 CN Normal" w:cs="Times New Roman"/>
              </w:rPr>
              <w:t>机器人在比赛过程中不符合规范</w:t>
            </w:r>
          </w:p>
        </w:tc>
        <w:tc>
          <w:tcPr>
            <w:tcW w:w="2687" w:type="dxa"/>
            <w:vAlign w:val="center"/>
          </w:tcPr>
          <w:p>
            <w:pPr>
              <w:jc w:val="left"/>
              <w:rPr>
                <w:rFonts w:ascii="思源黑体 CN Normal" w:hAnsi="思源黑体 CN Normal" w:eastAsia="思源黑体 CN Normal" w:cs="Times New Roman"/>
              </w:rPr>
            </w:pPr>
            <w:r>
              <w:rPr>
                <w:rFonts w:hint="eastAsia" w:ascii="思源黑体 CN Normal" w:hAnsi="思源黑体 CN Normal" w:eastAsia="思源黑体 CN Normal" w:cs="Times New Roman"/>
              </w:rPr>
              <w:t xml:space="preserve">违规方将被判红牌。若因非主观因素造成的机器人尺寸超标，包括被对手抛射场地元素击中或因外力改变，导致机器人尺寸超出比赛尺寸限制和机器人状态变形的情况除外。 </w:t>
            </w:r>
          </w:p>
        </w:tc>
        <w:tc>
          <w:tcPr>
            <w:tcW w:w="750" w:type="dxa"/>
            <w:vAlign w:val="center"/>
          </w:tcPr>
          <w:p>
            <w:pPr>
              <w:jc w:val="center"/>
              <w:rPr>
                <w:rFonts w:ascii="Segoe UI Emoji" w:hAnsi="Segoe UI Emoji" w:eastAsia="思源黑体 CN Normal" w:cs="Segoe UI Emoji"/>
              </w:rPr>
            </w:pPr>
          </w:p>
        </w:tc>
        <w:tc>
          <w:tcPr>
            <w:tcW w:w="532" w:type="dxa"/>
            <w:vAlign w:val="center"/>
          </w:tcPr>
          <w:p>
            <w:pPr>
              <w:jc w:val="center"/>
              <w:rPr>
                <w:rFonts w:ascii="Segoe UI Emoji" w:hAnsi="Segoe UI Emoji" w:eastAsia="思源黑体 CN Normal" w:cs="Segoe UI Emoji"/>
              </w:rPr>
            </w:pPr>
          </w:p>
        </w:tc>
        <w:tc>
          <w:tcPr>
            <w:tcW w:w="655"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655"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941" w:type="dxa"/>
            <w:vAlign w:val="center"/>
          </w:tcPr>
          <w:p>
            <w:pPr>
              <w:jc w:val="center"/>
              <w:rPr>
                <w:rFonts w:ascii="Segoe UI Emoji" w:hAnsi="Segoe UI Emoji" w:eastAsia="思源黑体 CN Normal" w:cs="Segoe UI Emoji"/>
              </w:rPr>
            </w:pPr>
          </w:p>
        </w:tc>
        <w:tc>
          <w:tcPr>
            <w:tcW w:w="1091" w:type="dxa"/>
            <w:vAlign w:val="center"/>
          </w:tcPr>
          <w:p>
            <w:pPr>
              <w:jc w:val="center"/>
              <w:rPr>
                <w:rFonts w:ascii="Segoe UI Emoji" w:hAnsi="Segoe UI Emoji" w:eastAsia="思源黑体 CN Normal" w:cs="Segoe UI Emoji"/>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shd w:val="clear" w:color="auto" w:fill="FFFFFF"/>
            <w:vAlign w:val="center"/>
          </w:tcPr>
          <w:p>
            <w:pPr>
              <w:jc w:val="center"/>
              <w:rPr>
                <w:rFonts w:ascii="思源黑体 CN Normal" w:hAnsi="思源黑体 CN Normal" w:eastAsia="思源黑体 CN Normal" w:cs="Times New Roman"/>
              </w:rPr>
            </w:pPr>
            <w:r>
              <w:rPr>
                <w:rFonts w:hint="eastAsia" w:ascii="思源黑体 CN Normal" w:hAnsi="思源黑体 CN Normal" w:eastAsia="思源黑体 CN Normal" w:cs="Times New Roman"/>
              </w:rPr>
              <w:t>违规抛射</w:t>
            </w:r>
          </w:p>
        </w:tc>
        <w:tc>
          <w:tcPr>
            <w:tcW w:w="2687" w:type="dxa"/>
            <w:vAlign w:val="center"/>
          </w:tcPr>
          <w:p>
            <w:pPr>
              <w:jc w:val="left"/>
              <w:rPr>
                <w:rFonts w:ascii="思源黑体 CN Normal" w:hAnsi="思源黑体 CN Normal" w:eastAsia="思源黑体 CN Normal" w:cs="Times New Roman"/>
              </w:rPr>
            </w:pPr>
            <w:r>
              <w:rPr>
                <w:rFonts w:hint="eastAsia" w:ascii="思源黑体 CN Normal" w:hAnsi="思源黑体 CN Normal" w:eastAsia="思源黑体 CN Normal" w:cs="Times New Roman"/>
              </w:rPr>
              <w:t>违规方将被判黄牌，如造成对方场地元素的变化，需暂停还原。</w:t>
            </w:r>
          </w:p>
        </w:tc>
        <w:tc>
          <w:tcPr>
            <w:tcW w:w="750" w:type="dxa"/>
            <w:vAlign w:val="center"/>
          </w:tcPr>
          <w:p>
            <w:pPr>
              <w:jc w:val="center"/>
              <w:rPr>
                <w:rFonts w:ascii="Segoe UI Emoji" w:hAnsi="Segoe UI Emoji" w:eastAsia="思源黑体 CN Normal" w:cs="Segoe UI Emoji"/>
              </w:rPr>
            </w:pPr>
          </w:p>
        </w:tc>
        <w:tc>
          <w:tcPr>
            <w:tcW w:w="532"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655" w:type="dxa"/>
            <w:vAlign w:val="center"/>
          </w:tcPr>
          <w:p>
            <w:pPr>
              <w:jc w:val="center"/>
              <w:rPr>
                <w:rFonts w:ascii="Segoe UI Emoji" w:hAnsi="Segoe UI Emoji" w:eastAsia="思源黑体 CN Normal" w:cs="Segoe UI Emoji"/>
              </w:rPr>
            </w:pPr>
          </w:p>
        </w:tc>
        <w:tc>
          <w:tcPr>
            <w:tcW w:w="655" w:type="dxa"/>
            <w:vAlign w:val="center"/>
          </w:tcPr>
          <w:p>
            <w:pPr>
              <w:jc w:val="center"/>
              <w:rPr>
                <w:rFonts w:ascii="Segoe UI Emoji" w:hAnsi="Segoe UI Emoji" w:eastAsia="思源黑体 CN Normal" w:cs="Segoe UI Emoji"/>
              </w:rPr>
            </w:pPr>
          </w:p>
        </w:tc>
        <w:tc>
          <w:tcPr>
            <w:tcW w:w="941" w:type="dxa"/>
            <w:vAlign w:val="center"/>
          </w:tcPr>
          <w:p>
            <w:pPr>
              <w:jc w:val="center"/>
              <w:rPr>
                <w:rFonts w:ascii="Segoe UI Emoji" w:hAnsi="Segoe UI Emoji" w:eastAsia="思源黑体 CN Normal" w:cs="Segoe UI Emoji"/>
              </w:rPr>
            </w:pPr>
          </w:p>
        </w:tc>
        <w:tc>
          <w:tcPr>
            <w:tcW w:w="1091" w:type="dxa"/>
            <w:vAlign w:val="center"/>
          </w:tcPr>
          <w:p>
            <w:pPr>
              <w:jc w:val="center"/>
              <w:rPr>
                <w:rFonts w:ascii="Segoe UI Emoji" w:hAnsi="Segoe UI Emoji" w:eastAsia="思源黑体 CN Normal" w:cs="Segoe UI Emoji"/>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shd w:val="clear" w:color="auto" w:fill="FFFFFF"/>
            <w:vAlign w:val="center"/>
          </w:tcPr>
          <w:p>
            <w:pPr>
              <w:jc w:val="center"/>
              <w:rPr>
                <w:rFonts w:ascii="思源黑体 CN Normal" w:hAnsi="思源黑体 CN Normal" w:eastAsia="思源黑体 CN Normal"/>
              </w:rPr>
            </w:pPr>
            <w:r>
              <w:rPr>
                <w:rFonts w:hint="eastAsia" w:ascii="思源黑体 CN Normal" w:hAnsi="思源黑体 CN Normal" w:eastAsia="思源黑体 CN Normal"/>
              </w:rPr>
              <w:t>场地元素难与机器人分离</w:t>
            </w:r>
          </w:p>
        </w:tc>
        <w:tc>
          <w:tcPr>
            <w:tcW w:w="2687" w:type="dxa"/>
            <w:vAlign w:val="center"/>
          </w:tcPr>
          <w:p>
            <w:pPr>
              <w:jc w:val="left"/>
              <w:rPr>
                <w:rFonts w:hint="eastAsia" w:ascii="思源黑体 CN Normal" w:hAnsi="思源黑体 CN Normal" w:eastAsia="思源黑体 CN Normal"/>
                <w:lang w:eastAsia="zh-CN"/>
              </w:rPr>
            </w:pPr>
            <w:r>
              <w:rPr>
                <w:rFonts w:hint="eastAsia" w:ascii="思源黑体 CN Normal" w:hAnsi="思源黑体 CN Normal" w:eastAsia="思源黑体 CN Normal"/>
              </w:rPr>
              <w:t>违规方机器人将被判当场比赛禁用，选手需要对机器人进行整改，两次违规将被判取消全场比赛资格</w:t>
            </w:r>
            <w:r>
              <w:rPr>
                <w:rFonts w:hint="eastAsia" w:ascii="思源黑体 CN Normal" w:hAnsi="思源黑体 CN Normal" w:eastAsia="思源黑体 CN Normal"/>
                <w:lang w:eastAsia="zh-CN"/>
              </w:rPr>
              <w:t>。</w:t>
            </w:r>
          </w:p>
        </w:tc>
        <w:tc>
          <w:tcPr>
            <w:tcW w:w="750" w:type="dxa"/>
            <w:vAlign w:val="center"/>
          </w:tcPr>
          <w:p>
            <w:pPr>
              <w:jc w:val="center"/>
              <w:rPr>
                <w:rFonts w:ascii="思源黑体 CN Normal" w:hAnsi="思源黑体 CN Normal" w:eastAsia="思源黑体 CN Normal"/>
              </w:rPr>
            </w:pPr>
          </w:p>
        </w:tc>
        <w:tc>
          <w:tcPr>
            <w:tcW w:w="532" w:type="dxa"/>
            <w:vAlign w:val="center"/>
          </w:tcPr>
          <w:p>
            <w:pPr>
              <w:jc w:val="center"/>
              <w:rPr>
                <w:rFonts w:ascii="思源黑体 CN Normal" w:hAnsi="思源黑体 CN Normal" w:eastAsia="思源黑体 CN Normal"/>
              </w:rPr>
            </w:pPr>
          </w:p>
        </w:tc>
        <w:tc>
          <w:tcPr>
            <w:tcW w:w="655" w:type="dxa"/>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655" w:type="dxa"/>
            <w:vAlign w:val="center"/>
          </w:tcPr>
          <w:p>
            <w:pPr>
              <w:jc w:val="center"/>
              <w:rPr>
                <w:rFonts w:ascii="思源黑体 CN Normal" w:hAnsi="思源黑体 CN Normal" w:eastAsia="思源黑体 CN Normal"/>
              </w:rPr>
            </w:pPr>
          </w:p>
        </w:tc>
        <w:tc>
          <w:tcPr>
            <w:tcW w:w="941" w:type="dxa"/>
            <w:vAlign w:val="center"/>
          </w:tcPr>
          <w:p>
            <w:pPr>
              <w:jc w:val="center"/>
              <w:rPr>
                <w:rFonts w:ascii="Segoe UI Emoji" w:hAnsi="Segoe UI Emoji" w:eastAsia="思源黑体 CN Normal" w:cs="Segoe UI Emoji"/>
              </w:rPr>
            </w:pPr>
          </w:p>
        </w:tc>
        <w:tc>
          <w:tcPr>
            <w:tcW w:w="1091" w:type="dxa"/>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shd w:val="clear" w:color="auto" w:fill="FFFFFF"/>
            <w:vAlign w:val="center"/>
          </w:tcPr>
          <w:p>
            <w:pPr>
              <w:jc w:val="center"/>
              <w:rPr>
                <w:rFonts w:ascii="思源黑体 CN Normal" w:hAnsi="思源黑体 CN Normal" w:eastAsia="思源黑体 CN Normal"/>
              </w:rPr>
            </w:pPr>
            <w:r>
              <w:rPr>
                <w:rFonts w:hint="eastAsia" w:ascii="思源黑体 CN Normal" w:hAnsi="思源黑体 CN Normal" w:eastAsia="思源黑体 CN Normal"/>
              </w:rPr>
              <w:t>进入对方区域</w:t>
            </w:r>
          </w:p>
        </w:tc>
        <w:tc>
          <w:tcPr>
            <w:tcW w:w="2687" w:type="dxa"/>
            <w:vAlign w:val="center"/>
          </w:tcPr>
          <w:p>
            <w:pPr>
              <w:jc w:val="left"/>
              <w:rPr>
                <w:rFonts w:ascii="思源黑体 CN Normal" w:hAnsi="思源黑体 CN Normal" w:eastAsia="思源黑体 CN Normal"/>
              </w:rPr>
            </w:pPr>
            <w:r>
              <w:rPr>
                <w:rFonts w:hint="eastAsia" w:ascii="思源黑体 CN Normal" w:hAnsi="思源黑体 CN Normal" w:eastAsia="思源黑体 CN Normal"/>
              </w:rPr>
              <w:t>违规方将被判黄牌。机器人进入对方区域，须在3秒之内返回本方区域，裁判将会进行口头读秒提醒。</w:t>
            </w:r>
          </w:p>
        </w:tc>
        <w:tc>
          <w:tcPr>
            <w:tcW w:w="750" w:type="dxa"/>
            <w:vAlign w:val="center"/>
          </w:tcPr>
          <w:p>
            <w:pPr>
              <w:jc w:val="center"/>
              <w:rPr>
                <w:rFonts w:ascii="思源黑体 CN Normal" w:hAnsi="思源黑体 CN Normal" w:eastAsia="思源黑体 CN Normal"/>
              </w:rPr>
            </w:pPr>
          </w:p>
        </w:tc>
        <w:tc>
          <w:tcPr>
            <w:tcW w:w="532" w:type="dxa"/>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655" w:type="dxa"/>
            <w:vAlign w:val="center"/>
          </w:tcPr>
          <w:p>
            <w:pPr>
              <w:jc w:val="center"/>
              <w:rPr>
                <w:rFonts w:ascii="思源黑体 CN Normal" w:hAnsi="思源黑体 CN Normal" w:eastAsia="思源黑体 CN Normal"/>
              </w:rPr>
            </w:pPr>
          </w:p>
        </w:tc>
        <w:tc>
          <w:tcPr>
            <w:tcW w:w="655" w:type="dxa"/>
            <w:vAlign w:val="center"/>
          </w:tcPr>
          <w:p>
            <w:pPr>
              <w:jc w:val="center"/>
              <w:rPr>
                <w:rFonts w:ascii="思源黑体 CN Normal" w:hAnsi="思源黑体 CN Normal" w:eastAsia="思源黑体 CN Normal"/>
              </w:rPr>
            </w:pPr>
          </w:p>
        </w:tc>
        <w:tc>
          <w:tcPr>
            <w:tcW w:w="941" w:type="dxa"/>
            <w:vAlign w:val="center"/>
          </w:tcPr>
          <w:p>
            <w:pPr>
              <w:jc w:val="center"/>
              <w:rPr>
                <w:rFonts w:ascii="Segoe UI Emoji" w:hAnsi="Segoe UI Emoji" w:eastAsia="思源黑体 CN Normal" w:cs="Segoe UI Emoji"/>
              </w:rPr>
            </w:pPr>
          </w:p>
        </w:tc>
        <w:tc>
          <w:tcPr>
            <w:tcW w:w="1091" w:type="dxa"/>
            <w:vAlign w:val="center"/>
          </w:tcPr>
          <w:p>
            <w:pPr>
              <w:jc w:val="center"/>
              <w:rPr>
                <w:rFonts w:ascii="思源黑体 CN Normal" w:hAnsi="思源黑体 CN Normal" w:eastAsia="思源黑体 CN Norm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vAlign w:val="center"/>
          </w:tcPr>
          <w:p>
            <w:pPr>
              <w:jc w:val="center"/>
              <w:rPr>
                <w:rFonts w:ascii="思源黑体 CN Normal" w:hAnsi="思源黑体 CN Normal" w:eastAsia="思源黑体 CN Normal"/>
              </w:rPr>
            </w:pPr>
            <w:r>
              <w:rPr>
                <w:rFonts w:hint="eastAsia" w:ascii="思源黑体 CN Normal" w:hAnsi="思源黑体 CN Normal" w:eastAsia="思源黑体 CN Normal"/>
              </w:rPr>
              <w:t>限制对方机器人移动</w:t>
            </w:r>
          </w:p>
        </w:tc>
        <w:tc>
          <w:tcPr>
            <w:tcW w:w="2687" w:type="dxa"/>
            <w:vAlign w:val="center"/>
          </w:tcPr>
          <w:p>
            <w:pPr>
              <w:jc w:val="left"/>
              <w:rPr>
                <w:rFonts w:ascii="思源黑体 CN Normal" w:hAnsi="思源黑体 CN Normal" w:eastAsia="思源黑体 CN Normal"/>
              </w:rPr>
            </w:pPr>
            <w:r>
              <w:rPr>
                <w:rFonts w:hint="eastAsia" w:ascii="思源黑体 CN Normal" w:hAnsi="思源黑体 CN Normal" w:eastAsia="思源黑体 CN Normal"/>
              </w:rPr>
              <w:t>违规方将被判违例，情节恶劣者将被判黄牌。</w:t>
            </w:r>
          </w:p>
        </w:tc>
        <w:tc>
          <w:tcPr>
            <w:tcW w:w="750" w:type="dxa"/>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532" w:type="dxa"/>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655" w:type="dxa"/>
            <w:vAlign w:val="center"/>
          </w:tcPr>
          <w:p>
            <w:pPr>
              <w:jc w:val="center"/>
              <w:rPr>
                <w:rFonts w:ascii="思源黑体 CN Normal" w:hAnsi="思源黑体 CN Normal" w:eastAsia="思源黑体 CN Normal"/>
              </w:rPr>
            </w:pPr>
          </w:p>
        </w:tc>
        <w:tc>
          <w:tcPr>
            <w:tcW w:w="655" w:type="dxa"/>
            <w:vAlign w:val="center"/>
          </w:tcPr>
          <w:p>
            <w:pPr>
              <w:jc w:val="center"/>
              <w:rPr>
                <w:rFonts w:ascii="思源黑体 CN Normal" w:hAnsi="思源黑体 CN Normal" w:eastAsia="思源黑体 CN Normal"/>
              </w:rPr>
            </w:pPr>
          </w:p>
        </w:tc>
        <w:tc>
          <w:tcPr>
            <w:tcW w:w="941" w:type="dxa"/>
            <w:vAlign w:val="center"/>
          </w:tcPr>
          <w:p>
            <w:pPr>
              <w:jc w:val="center"/>
              <w:rPr>
                <w:rFonts w:ascii="Segoe UI Emoji" w:hAnsi="Segoe UI Emoji" w:eastAsia="思源黑体 CN Normal" w:cs="Segoe UI Emoji"/>
              </w:rPr>
            </w:pPr>
          </w:p>
        </w:tc>
        <w:tc>
          <w:tcPr>
            <w:tcW w:w="1091" w:type="dxa"/>
            <w:vAlign w:val="center"/>
          </w:tcPr>
          <w:p>
            <w:pPr>
              <w:jc w:val="center"/>
              <w:rPr>
                <w:rFonts w:ascii="思源黑体 CN Normal" w:hAnsi="思源黑体 CN Normal" w:eastAsia="思源黑体 CN Norm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vMerge w:val="restart"/>
            <w:shd w:val="clear" w:color="auto" w:fill="FFFFFF"/>
            <w:vAlign w:val="center"/>
          </w:tcPr>
          <w:p>
            <w:pPr>
              <w:jc w:val="center"/>
              <w:rPr>
                <w:rFonts w:ascii="思源黑体 CN Normal" w:hAnsi="思源黑体 CN Normal" w:eastAsia="思源黑体 CN Normal"/>
              </w:rPr>
            </w:pPr>
            <w:r>
              <w:rPr>
                <w:rFonts w:hint="eastAsia" w:ascii="思源黑体 CN Normal" w:hAnsi="思源黑体 CN Normal" w:eastAsia="思源黑体 CN Normal"/>
              </w:rPr>
              <w:t>违规接触</w:t>
            </w:r>
          </w:p>
        </w:tc>
        <w:tc>
          <w:tcPr>
            <w:tcW w:w="2687" w:type="dxa"/>
            <w:vAlign w:val="center"/>
          </w:tcPr>
          <w:p>
            <w:pPr>
              <w:jc w:val="left"/>
              <w:rPr>
                <w:rFonts w:hint="eastAsia" w:ascii="思源黑体 CN Normal" w:hAnsi="思源黑体 CN Normal" w:eastAsia="思源黑体 CN Normal"/>
              </w:rPr>
            </w:pPr>
            <w:r>
              <w:rPr>
                <w:rFonts w:hint="eastAsia" w:ascii="思源黑体 CN Normal" w:hAnsi="思源黑体 CN Normal" w:eastAsia="思源黑体 CN Normal"/>
                <w:lang w:val="en-US" w:eastAsia="zh-CN"/>
              </w:rPr>
              <w:t>自动控制阶段机器人</w:t>
            </w:r>
            <w:r>
              <w:rPr>
                <w:rFonts w:hint="eastAsia" w:ascii="思源黑体 CN Normal" w:hAnsi="思源黑体 CN Normal" w:eastAsia="思源黑体 CN Normal"/>
              </w:rPr>
              <w:t>蓄意将中央资源区球拨至己方场地内将被判罚黄牌，二次违规者升级为红牌。</w:t>
            </w:r>
          </w:p>
          <w:p>
            <w:pPr>
              <w:jc w:val="left"/>
              <w:rPr>
                <w:rFonts w:ascii="思源黑体 CN Normal" w:hAnsi="思源黑体 CN Normal" w:eastAsia="思源黑体 CN Normal"/>
              </w:rPr>
            </w:pPr>
            <w:r>
              <w:rPr>
                <w:rFonts w:hint="eastAsia" w:ascii="思源黑体 CN Normal" w:hAnsi="思源黑体 CN Normal" w:eastAsia="思源黑体 CN Normal"/>
              </w:rPr>
              <w:t>因机器人故障卡在中央资源区或者由于抛射本方球造成的中央资源区道具改变初始位置不在此范围内。</w:t>
            </w:r>
          </w:p>
        </w:tc>
        <w:tc>
          <w:tcPr>
            <w:tcW w:w="750" w:type="dxa"/>
            <w:vAlign w:val="center"/>
          </w:tcPr>
          <w:p>
            <w:pPr>
              <w:jc w:val="center"/>
              <w:rPr>
                <w:rFonts w:ascii="思源黑体 CN Normal" w:hAnsi="思源黑体 CN Normal" w:eastAsia="思源黑体 CN Normal"/>
              </w:rPr>
            </w:pPr>
          </w:p>
        </w:tc>
        <w:tc>
          <w:tcPr>
            <w:tcW w:w="532" w:type="dxa"/>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655"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655" w:type="dxa"/>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941" w:type="dxa"/>
            <w:vAlign w:val="center"/>
          </w:tcPr>
          <w:p>
            <w:pPr>
              <w:jc w:val="center"/>
              <w:rPr>
                <w:rFonts w:ascii="Segoe UI Emoji" w:hAnsi="Segoe UI Emoji" w:eastAsia="思源黑体 CN Normal" w:cs="Segoe UI Emoji"/>
              </w:rPr>
            </w:pPr>
          </w:p>
        </w:tc>
        <w:tc>
          <w:tcPr>
            <w:tcW w:w="1091" w:type="dxa"/>
            <w:vAlign w:val="center"/>
          </w:tcPr>
          <w:p>
            <w:pPr>
              <w:jc w:val="center"/>
              <w:rPr>
                <w:rFonts w:ascii="思源黑体 CN Normal" w:hAnsi="思源黑体 CN Normal" w:eastAsia="思源黑体 CN Norm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vMerge w:val="continue"/>
            <w:vAlign w:val="center"/>
          </w:tcPr>
          <w:p>
            <w:pPr>
              <w:jc w:val="center"/>
              <w:rPr>
                <w:rFonts w:ascii="思源黑体 CN Normal" w:hAnsi="思源黑体 CN Normal" w:eastAsia="思源黑体 CN Normal" w:cs="Times New Roman"/>
              </w:rPr>
            </w:pPr>
          </w:p>
        </w:tc>
        <w:tc>
          <w:tcPr>
            <w:tcW w:w="2687" w:type="dxa"/>
            <w:vAlign w:val="center"/>
          </w:tcPr>
          <w:p>
            <w:pPr>
              <w:jc w:val="left"/>
              <w:rPr>
                <w:rFonts w:hint="eastAsia" w:ascii="思源黑体 CN Normal" w:hAnsi="思源黑体 CN Normal" w:eastAsia="思源黑体 CN Normal" w:cs="Times New Roman"/>
                <w:color w:val="000000"/>
              </w:rPr>
            </w:pPr>
            <w:r>
              <w:rPr>
                <w:rFonts w:hint="eastAsia" w:ascii="思源黑体 CN Normal" w:hAnsi="思源黑体 CN Normal" w:eastAsia="思源黑体 CN Normal" w:cs="Times New Roman"/>
                <w:color w:val="000000"/>
              </w:rPr>
              <w:t>参赛队员不得触碰比赛场地内的任何场地元素或机器人，身体不得伸入场地影响对方得分。</w:t>
            </w:r>
          </w:p>
          <w:p>
            <w:pPr>
              <w:jc w:val="left"/>
              <w:rPr>
                <w:rFonts w:hint="eastAsia" w:ascii="思源黑体 CN Normal" w:hAnsi="思源黑体 CN Normal" w:eastAsia="思源黑体 CN Normal" w:cs="Times New Roman"/>
                <w:color w:val="000000"/>
              </w:rPr>
            </w:pPr>
            <w:r>
              <w:rPr>
                <w:rFonts w:hint="eastAsia" w:ascii="思源黑体 CN Normal" w:hAnsi="思源黑体 CN Normal" w:eastAsia="思源黑体 CN Normal" w:cs="Times New Roman"/>
                <w:color w:val="000000"/>
              </w:rPr>
              <w:t>违规方将被判违例，如对比分或者比赛进行造成影响将判罚黄牌，情节恶劣者裁判有权取消本场比赛资格。</w:t>
            </w:r>
          </w:p>
        </w:tc>
        <w:tc>
          <w:tcPr>
            <w:tcW w:w="750"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532"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655" w:type="dxa"/>
            <w:vAlign w:val="center"/>
          </w:tcPr>
          <w:p>
            <w:pPr>
              <w:jc w:val="center"/>
              <w:rPr>
                <w:rFonts w:ascii="Segoe UI Emoji" w:hAnsi="Segoe UI Emoji" w:eastAsia="思源黑体 CN Normal" w:cs="Segoe UI Emoji"/>
              </w:rPr>
            </w:pPr>
          </w:p>
        </w:tc>
        <w:tc>
          <w:tcPr>
            <w:tcW w:w="655" w:type="dxa"/>
            <w:vAlign w:val="center"/>
          </w:tcPr>
          <w:p>
            <w:pPr>
              <w:jc w:val="center"/>
              <w:rPr>
                <w:rFonts w:ascii="Segoe UI Emoji" w:hAnsi="Segoe UI Emoji" w:eastAsia="思源黑体 CN Normal" w:cs="Segoe UI Emoji"/>
              </w:rPr>
            </w:pPr>
          </w:p>
        </w:tc>
        <w:tc>
          <w:tcPr>
            <w:tcW w:w="941"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1091" w:type="dxa"/>
            <w:vAlign w:val="center"/>
          </w:tcPr>
          <w:p>
            <w:pPr>
              <w:jc w:val="center"/>
              <w:rPr>
                <w:rFonts w:ascii="Segoe UI Emoji" w:hAnsi="Segoe UI Emoji" w:eastAsia="思源黑体 CN Normal" w:cs="Segoe UI Emoji"/>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vAlign w:val="center"/>
          </w:tcPr>
          <w:p>
            <w:pPr>
              <w:jc w:val="center"/>
              <w:rPr>
                <w:rFonts w:ascii="思源黑体 CN Normal" w:hAnsi="思源黑体 CN Normal" w:eastAsia="思源黑体 CN Normal"/>
              </w:rPr>
            </w:pPr>
            <w:r>
              <w:rPr>
                <w:rFonts w:hint="eastAsia" w:ascii="思源黑体 CN Normal" w:hAnsi="思源黑体 CN Normal" w:eastAsia="思源黑体 CN Normal"/>
              </w:rPr>
              <w:t>机器人接触本方球门区域内的得分道具</w:t>
            </w:r>
          </w:p>
        </w:tc>
        <w:tc>
          <w:tcPr>
            <w:tcW w:w="2687" w:type="dxa"/>
            <w:vAlign w:val="center"/>
          </w:tcPr>
          <w:p>
            <w:pPr>
              <w:jc w:val="left"/>
              <w:rPr>
                <w:rFonts w:ascii="思源黑体 CN Normal" w:hAnsi="思源黑体 CN Normal" w:eastAsia="思源黑体 CN Normal"/>
              </w:rPr>
            </w:pPr>
            <w:r>
              <w:rPr>
                <w:rFonts w:hint="eastAsia" w:ascii="思源黑体 CN Normal" w:hAnsi="思源黑体 CN Normal" w:eastAsia="思源黑体 CN Normal"/>
              </w:rPr>
              <w:t>违规方首次违规将被判红牌，机器人被禁用，移出场外。</w:t>
            </w:r>
          </w:p>
        </w:tc>
        <w:tc>
          <w:tcPr>
            <w:tcW w:w="750" w:type="dxa"/>
            <w:vAlign w:val="center"/>
          </w:tcPr>
          <w:p>
            <w:pPr>
              <w:jc w:val="center"/>
              <w:rPr>
                <w:rFonts w:ascii="思源黑体 CN Normal" w:hAnsi="思源黑体 CN Normal" w:eastAsia="思源黑体 CN Normal"/>
              </w:rPr>
            </w:pPr>
          </w:p>
        </w:tc>
        <w:tc>
          <w:tcPr>
            <w:tcW w:w="532" w:type="dxa"/>
            <w:vAlign w:val="center"/>
          </w:tcPr>
          <w:p>
            <w:pPr>
              <w:jc w:val="center"/>
              <w:rPr>
                <w:rFonts w:ascii="思源黑体 CN Normal" w:hAnsi="思源黑体 CN Normal" w:eastAsia="思源黑体 CN Normal"/>
              </w:rPr>
            </w:pPr>
          </w:p>
        </w:tc>
        <w:tc>
          <w:tcPr>
            <w:tcW w:w="655"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655" w:type="dxa"/>
            <w:vAlign w:val="center"/>
          </w:tcPr>
          <w:p>
            <w:pPr>
              <w:jc w:val="center"/>
              <w:rPr>
                <w:rFonts w:ascii="思源黑体 CN Normal" w:hAnsi="思源黑体 CN Normal" w:eastAsia="思源黑体 CN Normal"/>
              </w:rPr>
            </w:pPr>
            <w:r>
              <w:rPr>
                <w:rFonts w:ascii="Segoe UI Emoji" w:hAnsi="Segoe UI Emoji" w:eastAsia="思源黑体 CN Normal" w:cs="Segoe UI Emoji"/>
              </w:rPr>
              <w:t>✔</w:t>
            </w:r>
          </w:p>
        </w:tc>
        <w:tc>
          <w:tcPr>
            <w:tcW w:w="941" w:type="dxa"/>
            <w:vAlign w:val="center"/>
          </w:tcPr>
          <w:p>
            <w:pPr>
              <w:jc w:val="center"/>
              <w:rPr>
                <w:rFonts w:ascii="Segoe UI Emoji" w:hAnsi="Segoe UI Emoji" w:eastAsia="思源黑体 CN Normal" w:cs="Segoe UI Emoji"/>
              </w:rPr>
            </w:pPr>
          </w:p>
        </w:tc>
        <w:tc>
          <w:tcPr>
            <w:tcW w:w="1091" w:type="dxa"/>
            <w:vAlign w:val="center"/>
          </w:tcPr>
          <w:p>
            <w:pPr>
              <w:jc w:val="center"/>
              <w:rPr>
                <w:rFonts w:ascii="思源黑体 CN Normal" w:hAnsi="思源黑体 CN Normal" w:eastAsia="思源黑体 CN Norm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vAlign w:val="center"/>
          </w:tcPr>
          <w:p>
            <w:pPr>
              <w:jc w:val="center"/>
              <w:rPr>
                <w:rFonts w:ascii="思源黑体 CN Normal" w:hAnsi="思源黑体 CN Normal" w:eastAsia="思源黑体 CN Normal" w:cs="Times New Roman"/>
                <w:b w:val="0"/>
                <w:bCs/>
                <w:color w:val="auto"/>
                <w:kern w:val="2"/>
                <w:sz w:val="16"/>
                <w:szCs w:val="20"/>
                <w:lang w:val="en-US" w:eastAsia="zh-CN" w:bidi="ar-SA"/>
              </w:rPr>
            </w:pPr>
            <w:r>
              <w:rPr>
                <w:rFonts w:hint="eastAsia" w:ascii="思源黑体 CN Normal" w:hAnsi="思源黑体 CN Normal" w:eastAsia="思源黑体 CN Normal"/>
                <w:lang w:val="en-US" w:eastAsia="zh-CN"/>
              </w:rPr>
              <w:t>违规移出道具</w:t>
            </w:r>
          </w:p>
        </w:tc>
        <w:tc>
          <w:tcPr>
            <w:tcW w:w="2687" w:type="dxa"/>
            <w:vAlign w:val="center"/>
          </w:tcPr>
          <w:p>
            <w:pPr>
              <w:jc w:val="left"/>
              <w:rPr>
                <w:rFonts w:hint="eastAsia" w:ascii="思源黑体 CN Normal" w:hAnsi="思源黑体 CN Normal" w:eastAsia="思源黑体 CN Normal" w:cs="Times New Roman"/>
                <w:color w:val="000000"/>
              </w:rPr>
            </w:pPr>
            <w:r>
              <w:rPr>
                <w:rFonts w:hint="eastAsia" w:ascii="思源黑体 CN Normal" w:hAnsi="思源黑体 CN Normal" w:eastAsia="思源黑体 CN Normal" w:cs="Times New Roman"/>
                <w:color w:val="000000"/>
              </w:rPr>
              <w:t>违规方将被判违例，两次违规者将被判取消本场比赛资格。</w:t>
            </w:r>
          </w:p>
        </w:tc>
        <w:tc>
          <w:tcPr>
            <w:tcW w:w="750"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532" w:type="dxa"/>
            <w:vAlign w:val="center"/>
          </w:tcPr>
          <w:p>
            <w:pPr>
              <w:jc w:val="center"/>
              <w:rPr>
                <w:rFonts w:ascii="Segoe UI Emoji" w:hAnsi="Segoe UI Emoji" w:eastAsia="思源黑体 CN Normal" w:cs="Segoe UI Emoji"/>
              </w:rPr>
            </w:pPr>
          </w:p>
        </w:tc>
        <w:tc>
          <w:tcPr>
            <w:tcW w:w="655" w:type="dxa"/>
            <w:vAlign w:val="center"/>
          </w:tcPr>
          <w:p>
            <w:pPr>
              <w:jc w:val="center"/>
              <w:rPr>
                <w:rFonts w:ascii="Segoe UI Emoji" w:hAnsi="Segoe UI Emoji" w:eastAsia="思源黑体 CN Normal" w:cs="Segoe UI Emoji"/>
              </w:rPr>
            </w:pPr>
          </w:p>
        </w:tc>
        <w:tc>
          <w:tcPr>
            <w:tcW w:w="655" w:type="dxa"/>
            <w:vAlign w:val="center"/>
          </w:tcPr>
          <w:p>
            <w:pPr>
              <w:jc w:val="center"/>
              <w:rPr>
                <w:rFonts w:ascii="Segoe UI Emoji" w:hAnsi="Segoe UI Emoji" w:eastAsia="思源黑体 CN Normal" w:cs="Segoe UI Emoji"/>
              </w:rPr>
            </w:pPr>
          </w:p>
        </w:tc>
        <w:tc>
          <w:tcPr>
            <w:tcW w:w="941"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1091" w:type="dxa"/>
            <w:vAlign w:val="center"/>
          </w:tcPr>
          <w:p>
            <w:pPr>
              <w:jc w:val="center"/>
              <w:rPr>
                <w:rFonts w:ascii="Segoe UI Emoji" w:hAnsi="Segoe UI Emoji" w:eastAsia="思源黑体 CN Normal" w:cs="Segoe UI Emoji"/>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vAlign w:val="center"/>
          </w:tcPr>
          <w:p>
            <w:pPr>
              <w:pStyle w:val="63"/>
              <w:jc w:val="center"/>
              <w:rPr>
                <w:rFonts w:ascii="思源黑体 CN Normal" w:hAnsi="思源黑体 CN Normal" w:eastAsia="思源黑体 CN Normal" w:cs="Times New Roman"/>
                <w:b w:val="0"/>
                <w:bCs/>
                <w:color w:val="auto"/>
                <w:kern w:val="2"/>
                <w:sz w:val="21"/>
                <w:szCs w:val="20"/>
                <w:lang w:val="en-US" w:eastAsia="zh-CN" w:bidi="ar-SA"/>
              </w:rPr>
            </w:pPr>
            <w:r>
              <w:rPr>
                <w:rFonts w:hint="eastAsia" w:ascii="思源黑体 CN Normal" w:hAnsi="思源黑体 CN Normal" w:eastAsia="思源黑体 CN Normal" w:cs="Times New Roman"/>
                <w:b w:val="0"/>
                <w:bCs/>
                <w:color w:val="auto"/>
                <w:kern w:val="2"/>
                <w:sz w:val="21"/>
                <w:szCs w:val="20"/>
                <w:lang w:val="en-US" w:eastAsia="zh-CN" w:bidi="ar-SA"/>
              </w:rPr>
              <w:t>违例指导</w:t>
            </w:r>
          </w:p>
          <w:p>
            <w:pPr>
              <w:jc w:val="center"/>
              <w:rPr>
                <w:rFonts w:ascii="思源黑体 CN Normal" w:hAnsi="思源黑体 CN Normal" w:eastAsia="思源黑体 CN Normal" w:cs="Times New Roman"/>
                <w:b w:val="0"/>
                <w:bCs/>
                <w:color w:val="auto"/>
                <w:kern w:val="2"/>
                <w:sz w:val="16"/>
                <w:szCs w:val="20"/>
                <w:lang w:val="en-US" w:eastAsia="zh-CN" w:bidi="ar-SA"/>
              </w:rPr>
            </w:pPr>
          </w:p>
        </w:tc>
        <w:tc>
          <w:tcPr>
            <w:tcW w:w="2687" w:type="dxa"/>
            <w:vAlign w:val="center"/>
          </w:tcPr>
          <w:p>
            <w:pPr>
              <w:jc w:val="left"/>
              <w:rPr>
                <w:rFonts w:ascii="思源黑体 CN Normal" w:hAnsi="思源黑体 CN Normal" w:eastAsia="思源黑体 CN Normal" w:cs="Times New Roman"/>
                <w:color w:val="000000"/>
              </w:rPr>
            </w:pPr>
            <w:r>
              <w:rPr>
                <w:rFonts w:hint="eastAsia" w:ascii="思源黑体 CN Normal" w:hAnsi="思源黑体 CN Normal" w:eastAsia="思源黑体 CN Normal" w:cs="Times New Roman"/>
                <w:color w:val="000000"/>
              </w:rPr>
              <w:t>违规方将被判警告，若拒不改正，违规方将被判违例，并可视情况加大处罚力度，直至取消</w:t>
            </w:r>
            <w:r>
              <w:rPr>
                <w:rFonts w:hint="eastAsia" w:ascii="思源黑体 CN Normal" w:hAnsi="思源黑体 CN Normal" w:eastAsia="思源黑体 CN Normal" w:cs="Times New Roman"/>
                <w:color w:val="000000"/>
                <w:lang w:val="en-US" w:eastAsia="zh-CN"/>
              </w:rPr>
              <w:t>本场</w:t>
            </w:r>
            <w:r>
              <w:rPr>
                <w:rFonts w:hint="eastAsia" w:ascii="思源黑体 CN Normal" w:hAnsi="思源黑体 CN Normal" w:eastAsia="思源黑体 CN Normal" w:cs="Times New Roman"/>
                <w:color w:val="000000"/>
              </w:rPr>
              <w:t xml:space="preserve">比赛资格。 </w:t>
            </w:r>
          </w:p>
        </w:tc>
        <w:tc>
          <w:tcPr>
            <w:tcW w:w="750"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532" w:type="dxa"/>
            <w:vAlign w:val="center"/>
          </w:tcPr>
          <w:p>
            <w:pPr>
              <w:jc w:val="center"/>
              <w:rPr>
                <w:rFonts w:ascii="Segoe UI Emoji" w:hAnsi="Segoe UI Emoji" w:eastAsia="思源黑体 CN Normal" w:cs="Segoe UI Emoji"/>
              </w:rPr>
            </w:pPr>
          </w:p>
        </w:tc>
        <w:tc>
          <w:tcPr>
            <w:tcW w:w="655" w:type="dxa"/>
            <w:vAlign w:val="center"/>
          </w:tcPr>
          <w:p>
            <w:pPr>
              <w:jc w:val="center"/>
              <w:rPr>
                <w:rFonts w:ascii="Segoe UI Emoji" w:hAnsi="Segoe UI Emoji" w:eastAsia="思源黑体 CN Normal" w:cs="Segoe UI Emoji"/>
              </w:rPr>
            </w:pPr>
          </w:p>
        </w:tc>
        <w:tc>
          <w:tcPr>
            <w:tcW w:w="655" w:type="dxa"/>
            <w:vAlign w:val="center"/>
          </w:tcPr>
          <w:p>
            <w:pPr>
              <w:jc w:val="center"/>
              <w:rPr>
                <w:rFonts w:ascii="Segoe UI Emoji" w:hAnsi="Segoe UI Emoji" w:eastAsia="思源黑体 CN Normal" w:cs="Segoe UI Emoji"/>
              </w:rPr>
            </w:pPr>
          </w:p>
        </w:tc>
        <w:tc>
          <w:tcPr>
            <w:tcW w:w="941"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1091" w:type="dxa"/>
            <w:vAlign w:val="center"/>
          </w:tcPr>
          <w:p>
            <w:pPr>
              <w:jc w:val="center"/>
              <w:rPr>
                <w:rFonts w:ascii="Segoe UI Emoji" w:hAnsi="Segoe UI Emoji" w:eastAsia="思源黑体 CN Normal" w:cs="Segoe UI Emoji"/>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173" w:type="dxa"/>
            <w:vAlign w:val="center"/>
          </w:tcPr>
          <w:p>
            <w:pPr>
              <w:pStyle w:val="63"/>
              <w:jc w:val="center"/>
              <w:rPr>
                <w:rFonts w:ascii="思源黑体 CN Normal" w:hAnsi="思源黑体 CN Normal" w:eastAsia="思源黑体 CN Normal" w:cs="Times New Roman"/>
                <w:b w:val="0"/>
                <w:bCs/>
                <w:color w:val="auto"/>
                <w:kern w:val="2"/>
                <w:sz w:val="21"/>
                <w:szCs w:val="20"/>
                <w:lang w:val="en-US" w:eastAsia="zh-CN" w:bidi="ar-SA"/>
              </w:rPr>
            </w:pPr>
            <w:r>
              <w:rPr>
                <w:rFonts w:hint="eastAsia" w:ascii="思源黑体 CN Normal" w:hAnsi="思源黑体 CN Normal" w:eastAsia="思源黑体 CN Normal" w:cs="Times New Roman"/>
                <w:b w:val="0"/>
                <w:bCs/>
                <w:color w:val="auto"/>
                <w:kern w:val="2"/>
                <w:sz w:val="21"/>
                <w:szCs w:val="20"/>
                <w:lang w:val="en-US" w:eastAsia="zh-CN" w:bidi="ar-SA"/>
              </w:rPr>
              <w:t>场外接触</w:t>
            </w:r>
          </w:p>
          <w:p>
            <w:pPr>
              <w:jc w:val="center"/>
              <w:rPr>
                <w:rFonts w:ascii="思源黑体 CN Normal" w:hAnsi="思源黑体 CN Normal" w:eastAsia="思源黑体 CN Normal" w:cs="Times New Roman"/>
                <w:b w:val="0"/>
                <w:bCs/>
                <w:color w:val="auto"/>
                <w:kern w:val="2"/>
                <w:sz w:val="16"/>
                <w:szCs w:val="20"/>
                <w:lang w:val="en-US" w:eastAsia="zh-CN" w:bidi="ar-SA"/>
              </w:rPr>
            </w:pPr>
          </w:p>
        </w:tc>
        <w:tc>
          <w:tcPr>
            <w:tcW w:w="2687" w:type="dxa"/>
            <w:vAlign w:val="center"/>
          </w:tcPr>
          <w:p>
            <w:pPr>
              <w:jc w:val="left"/>
              <w:rPr>
                <w:rFonts w:ascii="思源黑体 CN Normal" w:hAnsi="思源黑体 CN Normal" w:eastAsia="思源黑体 CN Normal" w:cs="Times New Roman"/>
                <w:color w:val="000000"/>
              </w:rPr>
            </w:pPr>
            <w:r>
              <w:rPr>
                <w:rFonts w:hint="eastAsia" w:ascii="思源黑体 CN Normal" w:hAnsi="思源黑体 CN Normal" w:eastAsia="思源黑体 CN Normal" w:cs="Times New Roman"/>
                <w:color w:val="000000"/>
              </w:rPr>
              <w:t>违规方将被判违例，二次违规将被取消</w:t>
            </w:r>
            <w:r>
              <w:rPr>
                <w:rFonts w:hint="eastAsia"/>
                <w:lang w:val="en-US" w:eastAsia="zh-CN"/>
              </w:rPr>
              <w:t>本场</w:t>
            </w:r>
            <w:r>
              <w:rPr>
                <w:rFonts w:hint="eastAsia" w:ascii="思源黑体 CN Normal" w:hAnsi="思源黑体 CN Normal" w:eastAsia="思源黑体 CN Normal" w:cs="Times New Roman"/>
                <w:color w:val="000000"/>
              </w:rPr>
              <w:t>比赛资格。</w:t>
            </w:r>
          </w:p>
        </w:tc>
        <w:tc>
          <w:tcPr>
            <w:tcW w:w="750"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532" w:type="dxa"/>
            <w:vAlign w:val="center"/>
          </w:tcPr>
          <w:p>
            <w:pPr>
              <w:jc w:val="center"/>
              <w:rPr>
                <w:rFonts w:ascii="Segoe UI Emoji" w:hAnsi="Segoe UI Emoji" w:eastAsia="思源黑体 CN Normal" w:cs="Segoe UI Emoji"/>
              </w:rPr>
            </w:pPr>
          </w:p>
        </w:tc>
        <w:tc>
          <w:tcPr>
            <w:tcW w:w="655" w:type="dxa"/>
            <w:vAlign w:val="center"/>
          </w:tcPr>
          <w:p>
            <w:pPr>
              <w:jc w:val="center"/>
              <w:rPr>
                <w:rFonts w:ascii="Segoe UI Emoji" w:hAnsi="Segoe UI Emoji" w:eastAsia="思源黑体 CN Normal" w:cs="Segoe UI Emoji"/>
              </w:rPr>
            </w:pPr>
          </w:p>
        </w:tc>
        <w:tc>
          <w:tcPr>
            <w:tcW w:w="655" w:type="dxa"/>
            <w:vAlign w:val="center"/>
          </w:tcPr>
          <w:p>
            <w:pPr>
              <w:jc w:val="center"/>
              <w:rPr>
                <w:rFonts w:ascii="Segoe UI Emoji" w:hAnsi="Segoe UI Emoji" w:eastAsia="思源黑体 CN Normal" w:cs="Segoe UI Emoji"/>
              </w:rPr>
            </w:pPr>
          </w:p>
        </w:tc>
        <w:tc>
          <w:tcPr>
            <w:tcW w:w="941"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1091" w:type="dxa"/>
            <w:vAlign w:val="center"/>
          </w:tcPr>
          <w:p>
            <w:pPr>
              <w:jc w:val="center"/>
              <w:rPr>
                <w:rFonts w:ascii="Segoe UI Emoji" w:hAnsi="Segoe UI Emoji" w:eastAsia="思源黑体 CN Normal" w:cs="Segoe UI Emoji"/>
              </w:rPr>
            </w:pPr>
          </w:p>
        </w:tc>
      </w:tr>
    </w:tbl>
    <w:p/>
    <w:p>
      <w:pPr>
        <w:widowControl/>
        <w:spacing w:line="240" w:lineRule="auto"/>
        <w:jc w:val="left"/>
      </w:pPr>
      <w:r>
        <w:br w:type="page"/>
      </w:r>
    </w:p>
    <w:p>
      <w:pPr>
        <w:pStyle w:val="36"/>
        <w:numPr>
          <w:ilvl w:val="0"/>
          <w:numId w:val="0"/>
        </w:numPr>
        <w:spacing w:line="240" w:lineRule="auto"/>
      </w:pPr>
      <w:bookmarkStart w:id="21" w:name="_Toc3107"/>
      <w:r>
        <w:t>附录</w:t>
      </w:r>
      <w:r>
        <w:rPr>
          <w:rFonts w:hint="eastAsia"/>
          <w:lang w:val="en-US" w:eastAsia="zh-CN"/>
        </w:rPr>
        <w:t>2</w:t>
      </w:r>
      <w:r>
        <w:rPr>
          <w:rFonts w:hint="eastAsia"/>
        </w:rPr>
        <w:t>：</w:t>
      </w:r>
      <w:r>
        <w:t>MakeX Explorer 碳锁先锋</w:t>
      </w:r>
      <w:r>
        <w:rPr>
          <w:rFonts w:hint="eastAsia"/>
        </w:rPr>
        <w:t>计分表</w:t>
      </w:r>
      <w:bookmarkEnd w:id="21"/>
    </w:p>
    <w:p>
      <w:pPr>
        <w:jc w:val="left"/>
        <w:rPr>
          <w:rFonts w:cs="微软雅黑"/>
          <w:sz w:val="24"/>
          <w:szCs w:val="21"/>
        </w:rPr>
      </w:pPr>
      <w:r>
        <w:drawing>
          <wp:anchor distT="0" distB="0" distL="114300" distR="114300" simplePos="0" relativeHeight="251688960" behindDoc="0" locked="0" layoutInCell="1" allowOverlap="1">
            <wp:simplePos x="0" y="0"/>
            <wp:positionH relativeFrom="column">
              <wp:posOffset>-43815</wp:posOffset>
            </wp:positionH>
            <wp:positionV relativeFrom="paragraph">
              <wp:posOffset>90805</wp:posOffset>
            </wp:positionV>
            <wp:extent cx="5271770" cy="3696970"/>
            <wp:effectExtent l="0" t="0" r="5080" b="17780"/>
            <wp:wrapTopAndBottom/>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36"/>
                    <a:stretch>
                      <a:fillRect/>
                    </a:stretch>
                  </pic:blipFill>
                  <pic:spPr>
                    <a:xfrm>
                      <a:off x="0" y="0"/>
                      <a:ext cx="5271770" cy="3696970"/>
                    </a:xfrm>
                    <a:prstGeom prst="rect">
                      <a:avLst/>
                    </a:prstGeom>
                    <a:noFill/>
                    <a:ln>
                      <a:noFill/>
                    </a:ln>
                  </pic:spPr>
                </pic:pic>
              </a:graphicData>
            </a:graphic>
          </wp:anchor>
        </w:drawing>
      </w:r>
    </w:p>
    <w:sectPr>
      <w:headerReference r:id="rId6" w:type="first"/>
      <w:footerReference r:id="rId9" w:type="first"/>
      <w:footerReference r:id="rId7" w:type="default"/>
      <w:headerReference r:id="rId5" w:type="even"/>
      <w:footerReference r:id="rId8" w:type="even"/>
      <w:pgSz w:w="11906" w:h="16838"/>
      <w:pgMar w:top="1440" w:right="1797" w:bottom="1440" w:left="1797"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思源黑体 CN Regular">
    <w:altName w:val="黑体"/>
    <w:panose1 w:val="020B0500000000000000"/>
    <w:charset w:val="86"/>
    <w:family w:val="swiss"/>
    <w:pitch w:val="default"/>
    <w:sig w:usb0="00000000" w:usb1="00000000" w:usb2="00000016" w:usb3="00000000" w:csb0="00060107"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思源黑体 CN Heavy">
    <w:altName w:val="黑体"/>
    <w:panose1 w:val="020B0A00000000000000"/>
    <w:charset w:val="86"/>
    <w:family w:val="swiss"/>
    <w:pitch w:val="default"/>
    <w:sig w:usb0="00000000" w:usb1="00000000" w:usb2="00000016" w:usb3="00000000" w:csb0="00060107" w:csb1="00000000"/>
  </w:font>
  <w:font w:name="等线">
    <w:panose1 w:val="02010600030101010101"/>
    <w:charset w:val="86"/>
    <w:family w:val="auto"/>
    <w:pitch w:val="default"/>
    <w:sig w:usb0="A00002BF" w:usb1="38CF7CFA" w:usb2="00000016" w:usb3="00000000" w:csb0="0004000F" w:csb1="00000000"/>
  </w:font>
  <w:font w:name="思源黑体 CN Medium">
    <w:altName w:val="黑体"/>
    <w:panose1 w:val="020B0600000000000000"/>
    <w:charset w:val="86"/>
    <w:family w:val="auto"/>
    <w:pitch w:val="default"/>
    <w:sig w:usb0="00000000" w:usb1="00000000" w:usb2="00000016" w:usb3="00000000" w:csb0="60060107" w:csb1="00000000"/>
  </w:font>
  <w:font w:name="Lucida Grande">
    <w:altName w:val="Courier New"/>
    <w:panose1 w:val="00000000000000000000"/>
    <w:charset w:val="00"/>
    <w:family w:val="swiss"/>
    <w:pitch w:val="default"/>
    <w:sig w:usb0="00000000" w:usb1="00000000" w:usb2="00000000" w:usb3="00000000" w:csb0="000001BF" w:csb1="00000000"/>
  </w:font>
  <w:font w:name="MS Mincho">
    <w:panose1 w:val="02020609040205080304"/>
    <w:charset w:val="80"/>
    <w:family w:val="modern"/>
    <w:pitch w:val="default"/>
    <w:sig w:usb0="A00002BF" w:usb1="68C7FCFB" w:usb2="00000010" w:usb3="00000000" w:csb0="4002009F" w:csb1="DFD70000"/>
  </w:font>
  <w:font w:name="Meiryo">
    <w:altName w:val="Yu Gothic"/>
    <w:panose1 w:val="00000000000000000000"/>
    <w:charset w:val="80"/>
    <w:family w:val="swiss"/>
    <w:pitch w:val="default"/>
    <w:sig w:usb0="00000000" w:usb1="00000000" w:usb2="08000012" w:usb3="00000000" w:csb0="0002009F" w:csb1="00000000"/>
  </w:font>
  <w:font w:name="Cambria Math">
    <w:panose1 w:val="02040503050406030204"/>
    <w:charset w:val="00"/>
    <w:family w:val="roman"/>
    <w:pitch w:val="default"/>
    <w:sig w:usb0="E00006FF" w:usb1="420024FF" w:usb2="02000000" w:usb3="00000000" w:csb0="2000019F" w:csb1="00000000"/>
  </w:font>
  <w:font w:name="思源黑体 CN Normal">
    <w:altName w:val="微软雅黑"/>
    <w:panose1 w:val="00000000000000000000"/>
    <w:charset w:val="86"/>
    <w:family w:val="swiss"/>
    <w:pitch w:val="default"/>
    <w:sig w:usb0="00000000" w:usb1="00000000" w:usb2="00000016" w:usb3="00000000" w:csb0="00060107" w:csb1="00000000"/>
  </w:font>
  <w:font w:name="Tahoma">
    <w:panose1 w:val="020B0604030504040204"/>
    <w:charset w:val="00"/>
    <w:family w:val="swiss"/>
    <w:pitch w:val="default"/>
    <w:sig w:usb0="E1002EFF" w:usb1="C000605B" w:usb2="00000029" w:usb3="00000000" w:csb0="200101FF" w:csb1="20280000"/>
  </w:font>
  <w:font w:name="Segoe UI Emoji">
    <w:panose1 w:val="020B0502040204020203"/>
    <w:charset w:val="00"/>
    <w:family w:val="swiss"/>
    <w:pitch w:val="default"/>
    <w:sig w:usb0="00000001" w:usb1="02000000" w:usb2="00000000" w:usb3="00000000" w:csb0="00000001" w:csb1="00000000"/>
  </w:font>
  <w:font w:name="Yu Gothic">
    <w:panose1 w:val="020B0400000000000000"/>
    <w:charset w:val="80"/>
    <w:family w:val="auto"/>
    <w:pitch w:val="default"/>
    <w:sig w:usb0="E00002FF" w:usb1="2AC7FDFF" w:usb2="00000016" w:usb3="00000000" w:csb0="2002009F"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tabs>
        <w:tab w:val="center" w:pos="4156"/>
        <w:tab w:val="left" w:pos="5640"/>
        <w:tab w:val="clear" w:pos="4153"/>
        <w:tab w:val="clear" w:pos="8306"/>
      </w:tabs>
      <w:rPr>
        <w:b/>
        <w:color w:val="50B0CA"/>
        <w:sz w:val="21"/>
      </w:rPr>
    </w:pPr>
    <w:r>
      <w:drawing>
        <wp:anchor distT="0" distB="0" distL="114300" distR="114300" simplePos="0" relativeHeight="251664384" behindDoc="1" locked="0" layoutInCell="1" allowOverlap="1">
          <wp:simplePos x="0" y="0"/>
          <wp:positionH relativeFrom="margin">
            <wp:align>left</wp:align>
          </wp:positionH>
          <wp:positionV relativeFrom="paragraph">
            <wp:posOffset>-47625</wp:posOffset>
          </wp:positionV>
          <wp:extent cx="5266690" cy="377190"/>
          <wp:effectExtent l="0" t="0" r="0" b="0"/>
          <wp:wrapNone/>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266707" cy="377279"/>
                  </a:xfrm>
                  <a:prstGeom prst="rect">
                    <a:avLst/>
                  </a:prstGeom>
                </pic:spPr>
              </pic:pic>
            </a:graphicData>
          </a:graphic>
        </wp:anchor>
      </w:drawing>
    </w:r>
    <w:r>
      <w:tab/>
    </w:r>
    <w:sdt>
      <w:sdtPr>
        <w:id w:val="1547793488"/>
      </w:sdtPr>
      <w:sdtEndPr>
        <w:rPr>
          <w:b/>
          <w:color w:val="50B0CA"/>
          <w:sz w:val="21"/>
        </w:rPr>
      </w:sdtEndPr>
      <w:sdtContent>
        <w:r>
          <w:rPr>
            <w:rFonts w:eastAsia="微软雅黑"/>
            <w:b/>
            <w:color w:val="D64B40"/>
            <w:sz w:val="21"/>
          </w:rPr>
          <w:fldChar w:fldCharType="begin"/>
        </w:r>
        <w:r>
          <w:rPr>
            <w:rFonts w:eastAsia="微软雅黑"/>
            <w:b/>
            <w:color w:val="D64B40"/>
            <w:sz w:val="21"/>
          </w:rPr>
          <w:instrText xml:space="preserve"> PAGE   \* MERGEFORMAT </w:instrText>
        </w:r>
        <w:r>
          <w:rPr>
            <w:rFonts w:eastAsia="微软雅黑"/>
            <w:b/>
            <w:color w:val="D64B40"/>
            <w:sz w:val="21"/>
          </w:rPr>
          <w:fldChar w:fldCharType="separate"/>
        </w:r>
        <w:r>
          <w:rPr>
            <w:rFonts w:eastAsia="微软雅黑"/>
            <w:b/>
            <w:color w:val="D64B40"/>
            <w:sz w:val="21"/>
          </w:rPr>
          <w:t>38</w:t>
        </w:r>
        <w:r>
          <w:rPr>
            <w:rFonts w:eastAsia="微软雅黑"/>
            <w:b/>
            <w:color w:val="D64B40"/>
            <w:sz w:val="21"/>
          </w:rPr>
          <w:fldChar w:fldCharType="end"/>
        </w:r>
      </w:sdtContent>
    </w:sdt>
    <w:r>
      <w:rPr>
        <w:b/>
        <w:color w:val="50B0CA"/>
        <w:sz w:val="21"/>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026247665"/>
    </w:sdtPr>
    <w:sdtContent>
      <w:p>
        <w:pPr>
          <w:pStyle w:val="10"/>
          <w:jc w:val="center"/>
          <w:rPr>
            <w:rFonts w:eastAsia="微软雅黑"/>
          </w:rPr>
        </w:pPr>
        <w:r>
          <w:rPr>
            <w:rFonts w:eastAsia="微软雅黑"/>
          </w:rPr>
          <w:fldChar w:fldCharType="begin"/>
        </w:r>
        <w:r>
          <w:rPr>
            <w:rFonts w:eastAsia="微软雅黑"/>
          </w:rPr>
          <w:instrText xml:space="preserve"> PAGE   \* MERGEFORMAT </w:instrText>
        </w:r>
        <w:r>
          <w:rPr>
            <w:rFonts w:eastAsia="微软雅黑"/>
          </w:rPr>
          <w:fldChar w:fldCharType="separate"/>
        </w:r>
        <w:r>
          <w:rPr>
            <w:rFonts w:eastAsia="微软雅黑"/>
          </w:rPr>
          <w:t>47</w:t>
        </w:r>
        <w:r>
          <w:rPr>
            <w:rFonts w:eastAsia="微软雅黑"/>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72739916"/>
    </w:sdtPr>
    <w:sdtContent>
      <w:p>
        <w:pPr>
          <w:pStyle w:val="10"/>
          <w:jc w:val="center"/>
        </w:pPr>
        <w:r>
          <w:fldChar w:fldCharType="begin"/>
        </w:r>
        <w:r>
          <w:instrText xml:space="preserve"> PAGE   \* MERGEFORMAT </w:instrText>
        </w:r>
        <w:r>
          <w:fldChar w:fldCharType="separate"/>
        </w:r>
        <w:r>
          <w:t>1</w:t>
        </w:r>
        <w:r>
          <w:fldChar w:fldCharType="end"/>
        </w:r>
      </w:p>
    </w:sdtContent>
  </w:sdt>
  <w:p>
    <w:pPr>
      <w:pStyle w:val="1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left"/>
      <w:rPr>
        <w:rFonts w:eastAsia="微软雅黑"/>
        <w:sz w:val="18"/>
      </w:rPr>
    </w:pPr>
    <w:r>
      <w:rPr>
        <w:sz w:val="18"/>
      </w:rPr>
      <w:pict>
        <v:shape id="WordPictureWatermark106075504" o:spid="_x0000_s1096" o:spt="75" type="#_x0000_t75" style="position:absolute;left:0pt;height:476.35pt;width:673.5pt;mso-position-horizontal:center;mso-position-horizontal-relative:margin;mso-position-vertical:center;mso-position-vertical-relative:margin;z-index:-251654144;mso-width-relative:page;mso-height-relative:page;" filled="f" o:preferrelative="t" stroked="f" coordsize="21600,21600" o:allowincell="f">
          <v:path/>
          <v:fill on="f" focussize="0,0"/>
          <v:stroke on="f" joinstyle="miter"/>
          <v:imagedata r:id="rId1" gain="19661f" blacklevel="22938f" o:title="1"/>
          <o:lock v:ext="edit" aspectratio="t"/>
        </v:shape>
      </w:pict>
    </w:r>
    <w:r>
      <w:rPr>
        <w:sz w:val="18"/>
      </w:rPr>
      <w:pict>
        <v:shape id="_x0000_s1050" o:spid="_x0000_s1050" o:spt="75" type="#_x0000_t75" style="position:absolute;left:0pt;height:107.95pt;width:415.45pt;mso-position-horizontal:center;mso-position-horizontal-relative:margin;mso-position-vertical:center;mso-position-vertical-relative:margin;z-index:-251653120;mso-width-relative:page;mso-height-relative:page;" filled="f" o:preferrelative="t" stroked="f" coordsize="21600,21600" o:allowincell="f">
          <v:path/>
          <v:fill on="f" focussize="0,0"/>
          <v:stroke on="f" joinstyle="miter"/>
          <v:imagedata r:id="rId2" gain="19661f" blacklevel="22938f" o:title="1"/>
          <o:lock v:ext="edit" aspectratio="t"/>
        </v:shape>
      </w:pict>
    </w:r>
    <w:r>
      <w:rPr>
        <w:sz w:val="18"/>
      </w:rPr>
      <w:t>M</w:t>
    </w:r>
    <w:r>
      <w:rPr>
        <w:rFonts w:hint="eastAsia"/>
        <w:sz w:val="18"/>
      </w:rPr>
      <w:t>ake</w:t>
    </w:r>
    <w:r>
      <w:rPr>
        <w:sz w:val="18"/>
      </w:rPr>
      <w:t>X</w:t>
    </w:r>
    <w:r>
      <w:rPr>
        <w:rFonts w:hint="eastAsia" w:eastAsia="思源黑体 CN Heavy"/>
        <w:sz w:val="18"/>
      </w:rPr>
      <w:t>机器人</w:t>
    </w:r>
    <w:r>
      <w:rPr>
        <w:rFonts w:hint="eastAsia"/>
        <w:sz w:val="18"/>
      </w:rPr>
      <w:t>挑战赛—智慧交通技术手册</w:t>
    </w:r>
    <w:r>
      <w:rPr>
        <w:rFonts w:eastAsia="微软雅黑"/>
        <w:sz w:val="18"/>
      </w:rPr>
      <w:drawing>
        <wp:anchor distT="0" distB="0" distL="114300" distR="114300" simplePos="0" relativeHeight="251659264" behindDoc="1" locked="0" layoutInCell="0" allowOverlap="1">
          <wp:simplePos x="0" y="0"/>
          <wp:positionH relativeFrom="margin">
            <wp:align>center</wp:align>
          </wp:positionH>
          <wp:positionV relativeFrom="margin">
            <wp:align>center</wp:align>
          </wp:positionV>
          <wp:extent cx="5273675" cy="1370330"/>
          <wp:effectExtent l="0" t="0" r="0" b="0"/>
          <wp:wrapNone/>
          <wp:docPr id="59" name="Picture 59" descr="mak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makex"/>
                  <pic:cNvPicPr>
                    <a:picLocks noChangeAspect="1" noChangeArrowheads="1"/>
                  </pic:cNvPicPr>
                </pic:nvPicPr>
                <pic:blipFill>
                  <a:blip r:embed="rId3">
                    <a:lum bright="70000" contrast="-70000"/>
                    <a:extLst>
                      <a:ext uri="{28A0092B-C50C-407E-A947-70E740481C1C}">
                        <a14:useLocalDpi xmlns:a14="http://schemas.microsoft.com/office/drawing/2010/main" val="0"/>
                      </a:ext>
                    </a:extLst>
                  </a:blip>
                  <a:srcRect/>
                  <a:stretch>
                    <a:fillRect/>
                  </a:stretch>
                </pic:blipFill>
                <pic:spPr>
                  <a:xfrm>
                    <a:off x="0" y="0"/>
                    <a:ext cx="5273675" cy="1370330"/>
                  </a:xfrm>
                  <a:prstGeom prst="rect">
                    <a:avLst/>
                  </a:prstGeom>
                  <a:noFill/>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left"/>
      <w:rPr>
        <w:rFonts w:eastAsia="微软雅黑"/>
      </w:rPr>
    </w:pPr>
    <w:r>
      <w:pict>
        <v:shape id="WordPictureWatermark106075503" o:spid="_x0000_s1095" o:spt="75" type="#_x0000_t75" style="position:absolute;left:0pt;height:476.35pt;width:673.5pt;mso-position-horizontal:center;mso-position-horizontal-relative:margin;mso-position-vertical:center;mso-position-vertical-relative:margin;z-index:-251656192;mso-width-relative:page;mso-height-relative:page;" filled="f" o:preferrelative="t" stroked="f" coordsize="21600,21600" o:allowincell="f">
          <v:path/>
          <v:fill on="f" focussize="0,0"/>
          <v:stroke on="f" joinstyle="miter"/>
          <v:imagedata r:id="rId1" gain="19661f" blacklevel="22938f" o:title="1"/>
          <o:lock v:ext="edit" aspectratio="t"/>
        </v:shape>
      </w:pict>
    </w:r>
    <w:r>
      <w:t>M</w:t>
    </w:r>
    <w:r>
      <w:rPr>
        <w:rFonts w:hint="eastAsia"/>
      </w:rPr>
      <w:t>ake</w:t>
    </w:r>
    <w:r>
      <w:t>X</w:t>
    </w:r>
    <w:r>
      <w:rPr>
        <w:rFonts w:hint="eastAsia" w:eastAsia="思源黑体 CN Heavy"/>
      </w:rPr>
      <w:t>机器人</w:t>
    </w:r>
    <w:r>
      <w:rPr>
        <w:rFonts w:hint="eastAsia"/>
      </w:rPr>
      <w:t>挑战赛—智慧交通技术手册</w:t>
    </w:r>
    <w:r>
      <w:rPr>
        <w:rFonts w:eastAsia="微软雅黑"/>
      </w:rPr>
      <w:pict>
        <v:shape id="_x0000_s1033" o:spid="_x0000_s1033" o:spt="75" type="#_x0000_t75" style="position:absolute;left:0pt;height:107.9pt;width:415.25pt;mso-position-horizontal:center;mso-position-horizontal-relative:margin;mso-position-vertical:center;mso-position-vertical-relative:margin;z-index:-251655168;mso-width-relative:page;mso-height-relative:page;" filled="f" o:preferrelative="t" stroked="f" coordsize="21600,21600" o:allowincell="f">
          <v:path/>
          <v:fill on="f" focussize="0,0"/>
          <v:stroke on="f" joinstyle="miter"/>
          <v:imagedata r:id="rId2" gain="19661f" blacklevel="22938f" o:title="makex"/>
          <o:lock v:ext="edit" aspectratio="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8F2CF9"/>
    <w:multiLevelType w:val="multilevel"/>
    <w:tmpl w:val="008F2CF9"/>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
    <w:nsid w:val="00C40D68"/>
    <w:multiLevelType w:val="multilevel"/>
    <w:tmpl w:val="00C40D68"/>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
    <w:nsid w:val="012F221B"/>
    <w:multiLevelType w:val="multilevel"/>
    <w:tmpl w:val="012F221B"/>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
    <w:nsid w:val="026E7726"/>
    <w:multiLevelType w:val="multilevel"/>
    <w:tmpl w:val="026E7726"/>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
    <w:nsid w:val="044C7B41"/>
    <w:multiLevelType w:val="multilevel"/>
    <w:tmpl w:val="044C7B41"/>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
    <w:nsid w:val="0588741C"/>
    <w:multiLevelType w:val="multilevel"/>
    <w:tmpl w:val="0588741C"/>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
    <w:nsid w:val="06940F02"/>
    <w:multiLevelType w:val="multilevel"/>
    <w:tmpl w:val="06940F02"/>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7">
    <w:nsid w:val="07A92123"/>
    <w:multiLevelType w:val="multilevel"/>
    <w:tmpl w:val="07A92123"/>
    <w:lvl w:ilvl="0" w:tentative="0">
      <w:start w:val="1"/>
      <w:numFmt w:val="decimal"/>
      <w:pStyle w:val="36"/>
      <w:lvlText w:val="%1. "/>
      <w:lvlJc w:val="left"/>
      <w:pPr>
        <w:ind w:left="420" w:hanging="420"/>
      </w:pPr>
      <w:rPr>
        <w:rFonts w:hint="eastAsia"/>
      </w:rPr>
    </w:lvl>
    <w:lvl w:ilvl="1" w:tentative="0">
      <w:start w:val="1"/>
      <w:numFmt w:val="decimal"/>
      <w:pStyle w:val="33"/>
      <w:lvlText w:val="%1.%2"/>
      <w:lvlJc w:val="left"/>
      <w:pPr>
        <w:ind w:left="845"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8">
    <w:nsid w:val="09604FD8"/>
    <w:multiLevelType w:val="multilevel"/>
    <w:tmpl w:val="09604FD8"/>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9">
    <w:nsid w:val="0B817E80"/>
    <w:multiLevelType w:val="multilevel"/>
    <w:tmpl w:val="0B817E80"/>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0">
    <w:nsid w:val="0FE03DA9"/>
    <w:multiLevelType w:val="multilevel"/>
    <w:tmpl w:val="0FE03DA9"/>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1">
    <w:nsid w:val="14ED7933"/>
    <w:multiLevelType w:val="multilevel"/>
    <w:tmpl w:val="14ED7933"/>
    <w:lvl w:ilvl="0" w:tentative="0">
      <w:start w:val="1"/>
      <w:numFmt w:val="decimalZero"/>
      <w:pStyle w:val="47"/>
      <w:lvlText w:val="R%1. "/>
      <w:lvlJc w:val="left"/>
      <w:pPr>
        <w:ind w:left="1213" w:hanging="362"/>
      </w:pPr>
      <w:rPr>
        <w:rFonts w:hint="eastAsia" w:ascii="Times New Roman" w:hAnsi="Times New Roman" w:cs="Times New Roman"/>
        <w:b/>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440" w:hanging="362"/>
      </w:pPr>
      <w:rPr>
        <w:rFonts w:hint="eastAsia"/>
      </w:rPr>
    </w:lvl>
    <w:lvl w:ilvl="2" w:tentative="0">
      <w:start w:val="1"/>
      <w:numFmt w:val="lowerRoman"/>
      <w:lvlText w:val="%3."/>
      <w:lvlJc w:val="right"/>
      <w:pPr>
        <w:ind w:left="1667" w:hanging="362"/>
      </w:pPr>
      <w:rPr>
        <w:rFonts w:hint="eastAsia"/>
      </w:rPr>
    </w:lvl>
    <w:lvl w:ilvl="3" w:tentative="0">
      <w:start w:val="1"/>
      <w:numFmt w:val="decimal"/>
      <w:lvlText w:val="%4."/>
      <w:lvlJc w:val="left"/>
      <w:pPr>
        <w:ind w:left="1894" w:hanging="362"/>
      </w:pPr>
      <w:rPr>
        <w:rFonts w:hint="eastAsia"/>
      </w:rPr>
    </w:lvl>
    <w:lvl w:ilvl="4" w:tentative="0">
      <w:start w:val="1"/>
      <w:numFmt w:val="lowerLetter"/>
      <w:lvlText w:val="%5."/>
      <w:lvlJc w:val="left"/>
      <w:pPr>
        <w:ind w:left="2121" w:hanging="362"/>
      </w:pPr>
      <w:rPr>
        <w:rFonts w:hint="eastAsia"/>
      </w:rPr>
    </w:lvl>
    <w:lvl w:ilvl="5" w:tentative="0">
      <w:start w:val="1"/>
      <w:numFmt w:val="lowerRoman"/>
      <w:lvlText w:val="%6."/>
      <w:lvlJc w:val="right"/>
      <w:pPr>
        <w:ind w:left="2348" w:hanging="362"/>
      </w:pPr>
      <w:rPr>
        <w:rFonts w:hint="eastAsia"/>
      </w:rPr>
    </w:lvl>
    <w:lvl w:ilvl="6" w:tentative="0">
      <w:start w:val="1"/>
      <w:numFmt w:val="decimal"/>
      <w:lvlText w:val="%7."/>
      <w:lvlJc w:val="left"/>
      <w:pPr>
        <w:ind w:left="2575" w:hanging="362"/>
      </w:pPr>
      <w:rPr>
        <w:rFonts w:hint="eastAsia"/>
      </w:rPr>
    </w:lvl>
    <w:lvl w:ilvl="7" w:tentative="0">
      <w:start w:val="1"/>
      <w:numFmt w:val="lowerLetter"/>
      <w:lvlText w:val="%8."/>
      <w:lvlJc w:val="left"/>
      <w:pPr>
        <w:ind w:left="2802" w:hanging="362"/>
      </w:pPr>
      <w:rPr>
        <w:rFonts w:hint="eastAsia"/>
      </w:rPr>
    </w:lvl>
    <w:lvl w:ilvl="8" w:tentative="0">
      <w:start w:val="1"/>
      <w:numFmt w:val="lowerRoman"/>
      <w:lvlText w:val="%9."/>
      <w:lvlJc w:val="right"/>
      <w:pPr>
        <w:ind w:left="3029" w:hanging="362"/>
      </w:pPr>
      <w:rPr>
        <w:rFonts w:hint="eastAsia"/>
      </w:rPr>
    </w:lvl>
  </w:abstractNum>
  <w:abstractNum w:abstractNumId="12">
    <w:nsid w:val="19C13AEA"/>
    <w:multiLevelType w:val="multilevel"/>
    <w:tmpl w:val="19C13AEA"/>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3">
    <w:nsid w:val="1A892D3F"/>
    <w:multiLevelType w:val="multilevel"/>
    <w:tmpl w:val="1A892D3F"/>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4">
    <w:nsid w:val="1BA82969"/>
    <w:multiLevelType w:val="multilevel"/>
    <w:tmpl w:val="1BA82969"/>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5">
    <w:nsid w:val="1E9E3DCE"/>
    <w:multiLevelType w:val="multilevel"/>
    <w:tmpl w:val="1E9E3DCE"/>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6">
    <w:nsid w:val="1F9E2F7A"/>
    <w:multiLevelType w:val="multilevel"/>
    <w:tmpl w:val="1F9E2F7A"/>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7">
    <w:nsid w:val="246F7CA1"/>
    <w:multiLevelType w:val="multilevel"/>
    <w:tmpl w:val="246F7CA1"/>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8">
    <w:nsid w:val="25AC7818"/>
    <w:multiLevelType w:val="multilevel"/>
    <w:tmpl w:val="25AC7818"/>
    <w:lvl w:ilvl="0" w:tentative="0">
      <w:start w:val="1"/>
      <w:numFmt w:val="bullet"/>
      <w:lvlText w:val=""/>
      <w:lvlJc w:val="left"/>
      <w:pPr>
        <w:ind w:left="1680" w:hanging="420"/>
      </w:pPr>
      <w:rPr>
        <w:rFonts w:hint="default" w:ascii="Wingdings" w:hAnsi="Wingdings"/>
      </w:rPr>
    </w:lvl>
    <w:lvl w:ilvl="1" w:tentative="0">
      <w:start w:val="1"/>
      <w:numFmt w:val="bullet"/>
      <w:lvlText w:val=""/>
      <w:lvlJc w:val="left"/>
      <w:pPr>
        <w:ind w:left="2100" w:hanging="420"/>
      </w:pPr>
      <w:rPr>
        <w:rFonts w:hint="default" w:ascii="Wingdings" w:hAnsi="Wingdings"/>
      </w:rPr>
    </w:lvl>
    <w:lvl w:ilvl="2" w:tentative="0">
      <w:start w:val="1"/>
      <w:numFmt w:val="bullet"/>
      <w:lvlText w:val=""/>
      <w:lvlJc w:val="left"/>
      <w:pPr>
        <w:ind w:left="2520" w:hanging="420"/>
      </w:pPr>
      <w:rPr>
        <w:rFonts w:hint="default" w:ascii="Wingdings" w:hAnsi="Wingdings"/>
      </w:rPr>
    </w:lvl>
    <w:lvl w:ilvl="3" w:tentative="0">
      <w:start w:val="1"/>
      <w:numFmt w:val="bullet"/>
      <w:lvlText w:val=""/>
      <w:lvlJc w:val="left"/>
      <w:pPr>
        <w:ind w:left="2940" w:hanging="420"/>
      </w:pPr>
      <w:rPr>
        <w:rFonts w:hint="default" w:ascii="Wingdings" w:hAnsi="Wingdings"/>
      </w:rPr>
    </w:lvl>
    <w:lvl w:ilvl="4" w:tentative="0">
      <w:start w:val="1"/>
      <w:numFmt w:val="bullet"/>
      <w:lvlText w:val=""/>
      <w:lvlJc w:val="left"/>
      <w:pPr>
        <w:ind w:left="3360" w:hanging="420"/>
      </w:pPr>
      <w:rPr>
        <w:rFonts w:hint="default" w:ascii="Wingdings" w:hAnsi="Wingdings"/>
      </w:rPr>
    </w:lvl>
    <w:lvl w:ilvl="5" w:tentative="0">
      <w:start w:val="1"/>
      <w:numFmt w:val="bullet"/>
      <w:lvlText w:val=""/>
      <w:lvlJc w:val="left"/>
      <w:pPr>
        <w:ind w:left="3780" w:hanging="420"/>
      </w:pPr>
      <w:rPr>
        <w:rFonts w:hint="default" w:ascii="Wingdings" w:hAnsi="Wingdings"/>
      </w:rPr>
    </w:lvl>
    <w:lvl w:ilvl="6" w:tentative="0">
      <w:start w:val="1"/>
      <w:numFmt w:val="bullet"/>
      <w:lvlText w:val=""/>
      <w:lvlJc w:val="left"/>
      <w:pPr>
        <w:ind w:left="4200" w:hanging="420"/>
      </w:pPr>
      <w:rPr>
        <w:rFonts w:hint="default" w:ascii="Wingdings" w:hAnsi="Wingdings"/>
      </w:rPr>
    </w:lvl>
    <w:lvl w:ilvl="7" w:tentative="0">
      <w:start w:val="1"/>
      <w:numFmt w:val="bullet"/>
      <w:lvlText w:val=""/>
      <w:lvlJc w:val="left"/>
      <w:pPr>
        <w:ind w:left="4620" w:hanging="420"/>
      </w:pPr>
      <w:rPr>
        <w:rFonts w:hint="default" w:ascii="Wingdings" w:hAnsi="Wingdings"/>
      </w:rPr>
    </w:lvl>
    <w:lvl w:ilvl="8" w:tentative="0">
      <w:start w:val="1"/>
      <w:numFmt w:val="bullet"/>
      <w:lvlText w:val=""/>
      <w:lvlJc w:val="left"/>
      <w:pPr>
        <w:ind w:left="5040" w:hanging="420"/>
      </w:pPr>
      <w:rPr>
        <w:rFonts w:hint="default" w:ascii="Wingdings" w:hAnsi="Wingdings"/>
      </w:rPr>
    </w:lvl>
  </w:abstractNum>
  <w:abstractNum w:abstractNumId="19">
    <w:nsid w:val="25C24902"/>
    <w:multiLevelType w:val="multilevel"/>
    <w:tmpl w:val="25C24902"/>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0">
    <w:nsid w:val="26331A88"/>
    <w:multiLevelType w:val="multilevel"/>
    <w:tmpl w:val="26331A88"/>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1">
    <w:nsid w:val="26513B10"/>
    <w:multiLevelType w:val="multilevel"/>
    <w:tmpl w:val="26513B10"/>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2">
    <w:nsid w:val="270069E9"/>
    <w:multiLevelType w:val="multilevel"/>
    <w:tmpl w:val="270069E9"/>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3">
    <w:nsid w:val="2F3835A4"/>
    <w:multiLevelType w:val="multilevel"/>
    <w:tmpl w:val="2F3835A4"/>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4">
    <w:nsid w:val="329C3827"/>
    <w:multiLevelType w:val="multilevel"/>
    <w:tmpl w:val="329C3827"/>
    <w:lvl w:ilvl="0" w:tentative="0">
      <w:start w:val="1"/>
      <w:numFmt w:val="decimalZero"/>
      <w:pStyle w:val="96"/>
      <w:lvlText w:val="E%1. "/>
      <w:lvlJc w:val="left"/>
      <w:pPr>
        <w:ind w:left="1213" w:hanging="362"/>
      </w:pPr>
      <w:rPr>
        <w:rFonts w:hint="eastAsia"/>
        <w:b/>
        <w:bCs w:val="0"/>
        <w:i w:val="0"/>
        <w:iCs w:val="0"/>
        <w:caps w:val="0"/>
        <w:smallCaps w:val="0"/>
        <w:strike w:val="0"/>
        <w:dstrike w:val="0"/>
        <w:outline w:val="0"/>
        <w:shadow w:val="0"/>
        <w:emboss w:val="0"/>
        <w:imprint w:val="0"/>
        <w:vanish w:val="0"/>
        <w:spacing w:val="0"/>
        <w:position w:val="0"/>
        <w:u w:val="none"/>
        <w:vertAlign w:val="baseline"/>
        <w14:ligatures w14:val="none"/>
        <w14:numForm w14:val="default"/>
        <w14:numSpacing w14:val="default"/>
      </w:rPr>
    </w:lvl>
    <w:lvl w:ilvl="1" w:tentative="0">
      <w:start w:val="1"/>
      <w:numFmt w:val="lowerLetter"/>
      <w:lvlText w:val="%2)"/>
      <w:lvlJc w:val="left"/>
      <w:pPr>
        <w:ind w:left="1320" w:hanging="420"/>
      </w:pPr>
      <w:rPr>
        <w:rFonts w:hint="eastAsia"/>
      </w:rPr>
    </w:lvl>
    <w:lvl w:ilvl="2" w:tentative="0">
      <w:start w:val="1"/>
      <w:numFmt w:val="lowerRoman"/>
      <w:lvlText w:val="%3."/>
      <w:lvlJc w:val="right"/>
      <w:pPr>
        <w:ind w:left="1740" w:hanging="420"/>
      </w:pPr>
      <w:rPr>
        <w:rFonts w:hint="eastAsia"/>
      </w:rPr>
    </w:lvl>
    <w:lvl w:ilvl="3" w:tentative="0">
      <w:start w:val="1"/>
      <w:numFmt w:val="decimal"/>
      <w:lvlText w:val="%4."/>
      <w:lvlJc w:val="left"/>
      <w:pPr>
        <w:ind w:left="2160" w:hanging="420"/>
      </w:pPr>
      <w:rPr>
        <w:rFonts w:hint="eastAsia"/>
      </w:rPr>
    </w:lvl>
    <w:lvl w:ilvl="4" w:tentative="0">
      <w:start w:val="1"/>
      <w:numFmt w:val="lowerLetter"/>
      <w:lvlText w:val="%5)"/>
      <w:lvlJc w:val="left"/>
      <w:pPr>
        <w:ind w:left="2580" w:hanging="420"/>
      </w:pPr>
      <w:rPr>
        <w:rFonts w:hint="eastAsia"/>
      </w:rPr>
    </w:lvl>
    <w:lvl w:ilvl="5" w:tentative="0">
      <w:start w:val="1"/>
      <w:numFmt w:val="lowerRoman"/>
      <w:lvlText w:val="%6."/>
      <w:lvlJc w:val="right"/>
      <w:pPr>
        <w:ind w:left="3000" w:hanging="420"/>
      </w:pPr>
      <w:rPr>
        <w:rFonts w:hint="eastAsia"/>
      </w:rPr>
    </w:lvl>
    <w:lvl w:ilvl="6" w:tentative="0">
      <w:start w:val="1"/>
      <w:numFmt w:val="decimal"/>
      <w:lvlText w:val="%7."/>
      <w:lvlJc w:val="left"/>
      <w:pPr>
        <w:ind w:left="3420" w:hanging="420"/>
      </w:pPr>
      <w:rPr>
        <w:rFonts w:hint="eastAsia"/>
      </w:rPr>
    </w:lvl>
    <w:lvl w:ilvl="7" w:tentative="0">
      <w:start w:val="1"/>
      <w:numFmt w:val="lowerLetter"/>
      <w:lvlText w:val="%8)"/>
      <w:lvlJc w:val="left"/>
      <w:pPr>
        <w:ind w:left="3840" w:hanging="420"/>
      </w:pPr>
      <w:rPr>
        <w:rFonts w:hint="eastAsia"/>
      </w:rPr>
    </w:lvl>
    <w:lvl w:ilvl="8" w:tentative="0">
      <w:start w:val="1"/>
      <w:numFmt w:val="lowerRoman"/>
      <w:lvlText w:val="%9."/>
      <w:lvlJc w:val="right"/>
      <w:pPr>
        <w:ind w:left="4260" w:hanging="420"/>
      </w:pPr>
      <w:rPr>
        <w:rFonts w:hint="eastAsia"/>
      </w:rPr>
    </w:lvl>
  </w:abstractNum>
  <w:abstractNum w:abstractNumId="25">
    <w:nsid w:val="32FB0B89"/>
    <w:multiLevelType w:val="multilevel"/>
    <w:tmpl w:val="32FB0B89"/>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6">
    <w:nsid w:val="354E3096"/>
    <w:multiLevelType w:val="multilevel"/>
    <w:tmpl w:val="354E3096"/>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7">
    <w:nsid w:val="37A21397"/>
    <w:multiLevelType w:val="multilevel"/>
    <w:tmpl w:val="37A21397"/>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8">
    <w:nsid w:val="38606D8C"/>
    <w:multiLevelType w:val="multilevel"/>
    <w:tmpl w:val="38606D8C"/>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9">
    <w:nsid w:val="392A4923"/>
    <w:multiLevelType w:val="multilevel"/>
    <w:tmpl w:val="392A4923"/>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0">
    <w:nsid w:val="3A2F623A"/>
    <w:multiLevelType w:val="multilevel"/>
    <w:tmpl w:val="3A2F623A"/>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1">
    <w:nsid w:val="3A3B1CBF"/>
    <w:multiLevelType w:val="multilevel"/>
    <w:tmpl w:val="3A3B1CBF"/>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2">
    <w:nsid w:val="3ABC00FF"/>
    <w:multiLevelType w:val="multilevel"/>
    <w:tmpl w:val="3ABC00FF"/>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3">
    <w:nsid w:val="3C152EAC"/>
    <w:multiLevelType w:val="multilevel"/>
    <w:tmpl w:val="3C152EAC"/>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4">
    <w:nsid w:val="3D650981"/>
    <w:multiLevelType w:val="multilevel"/>
    <w:tmpl w:val="3D650981"/>
    <w:lvl w:ilvl="0" w:tentative="0">
      <w:start w:val="1"/>
      <w:numFmt w:val="decimal"/>
      <w:lvlText w:val="%1."/>
      <w:lvlJc w:val="left"/>
      <w:pPr>
        <w:ind w:left="425" w:hanging="425"/>
      </w:pPr>
      <w:rPr>
        <w:rFonts w:hint="eastAsia"/>
      </w:rPr>
    </w:lvl>
    <w:lvl w:ilvl="1" w:tentative="0">
      <w:start w:val="1"/>
      <w:numFmt w:val="decimal"/>
      <w:lvlText w:val="%1.%2"/>
      <w:lvlJc w:val="left"/>
      <w:pPr>
        <w:ind w:left="992" w:hanging="567"/>
      </w:pPr>
      <w:rPr>
        <w:rFonts w:hint="eastAsia"/>
      </w:rPr>
    </w:lvl>
    <w:lvl w:ilvl="2" w:tentative="0">
      <w:start w:val="1"/>
      <w:numFmt w:val="decimal"/>
      <w:pStyle w:val="43"/>
      <w:lvlText w:val="%1.%2.%3"/>
      <w:lvlJc w:val="left"/>
      <w:pPr>
        <w:ind w:left="1134" w:hanging="567"/>
      </w:pPr>
      <w:rPr>
        <w:b w:val="0"/>
        <w:bCs w:val="0"/>
        <w:i w:val="0"/>
        <w:iCs w:val="0"/>
        <w:caps w:val="0"/>
        <w:smallCaps w:val="0"/>
        <w:strike w:val="0"/>
        <w:dstrike w:val="0"/>
        <w:outline w:val="0"/>
        <w:shadow w:val="0"/>
        <w:emboss w:val="0"/>
        <w:imprint w:val="0"/>
        <w:vanish w:val="0"/>
        <w:spacing w:val="0"/>
        <w:position w:val="0"/>
        <w:u w:val="none"/>
        <w:vertAlign w:val="baseline"/>
        <w:lang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35">
    <w:nsid w:val="400F3ACC"/>
    <w:multiLevelType w:val="multilevel"/>
    <w:tmpl w:val="400F3ACC"/>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6">
    <w:nsid w:val="42AE5205"/>
    <w:multiLevelType w:val="multilevel"/>
    <w:tmpl w:val="42AE5205"/>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420"/>
        </w:tabs>
        <w:ind w:left="1260" w:hanging="420"/>
      </w:pPr>
      <w:rPr>
        <w:rFonts w:hint="default" w:ascii="Wingdings" w:hAnsi="Wingdings"/>
      </w:rPr>
    </w:lvl>
    <w:lvl w:ilvl="2" w:tentative="0">
      <w:start w:val="1"/>
      <w:numFmt w:val="bullet"/>
      <w:lvlText w:val=""/>
      <w:lvlJc w:val="left"/>
      <w:pPr>
        <w:tabs>
          <w:tab w:val="left" w:pos="420"/>
        </w:tabs>
        <w:ind w:left="1680" w:hanging="420"/>
      </w:pPr>
      <w:rPr>
        <w:rFonts w:hint="default" w:ascii="Wingdings" w:hAnsi="Wingdings"/>
      </w:rPr>
    </w:lvl>
    <w:lvl w:ilvl="3" w:tentative="0">
      <w:start w:val="1"/>
      <w:numFmt w:val="bullet"/>
      <w:lvlText w:val=""/>
      <w:lvlJc w:val="left"/>
      <w:pPr>
        <w:tabs>
          <w:tab w:val="left" w:pos="420"/>
        </w:tabs>
        <w:ind w:left="2100" w:hanging="420"/>
      </w:pPr>
      <w:rPr>
        <w:rFonts w:hint="default" w:ascii="Wingdings" w:hAnsi="Wingdings"/>
      </w:rPr>
    </w:lvl>
    <w:lvl w:ilvl="4" w:tentative="0">
      <w:start w:val="1"/>
      <w:numFmt w:val="bullet"/>
      <w:lvlText w:val=""/>
      <w:lvlJc w:val="left"/>
      <w:pPr>
        <w:tabs>
          <w:tab w:val="left" w:pos="420"/>
        </w:tabs>
        <w:ind w:left="2520" w:hanging="420"/>
      </w:pPr>
      <w:rPr>
        <w:rFonts w:hint="default" w:ascii="Wingdings" w:hAnsi="Wingdings"/>
      </w:rPr>
    </w:lvl>
    <w:lvl w:ilvl="5" w:tentative="0">
      <w:start w:val="1"/>
      <w:numFmt w:val="bullet"/>
      <w:lvlText w:val=""/>
      <w:lvlJc w:val="left"/>
      <w:pPr>
        <w:tabs>
          <w:tab w:val="left" w:pos="420"/>
        </w:tabs>
        <w:ind w:left="2940" w:hanging="420"/>
      </w:pPr>
      <w:rPr>
        <w:rFonts w:hint="default" w:ascii="Wingdings" w:hAnsi="Wingdings"/>
      </w:rPr>
    </w:lvl>
    <w:lvl w:ilvl="6" w:tentative="0">
      <w:start w:val="1"/>
      <w:numFmt w:val="bullet"/>
      <w:lvlText w:val=""/>
      <w:lvlJc w:val="left"/>
      <w:pPr>
        <w:tabs>
          <w:tab w:val="left" w:pos="420"/>
        </w:tabs>
        <w:ind w:left="3360" w:hanging="420"/>
      </w:pPr>
      <w:rPr>
        <w:rFonts w:hint="default" w:ascii="Wingdings" w:hAnsi="Wingdings"/>
      </w:rPr>
    </w:lvl>
    <w:lvl w:ilvl="7" w:tentative="0">
      <w:start w:val="1"/>
      <w:numFmt w:val="bullet"/>
      <w:lvlText w:val=""/>
      <w:lvlJc w:val="left"/>
      <w:pPr>
        <w:tabs>
          <w:tab w:val="left" w:pos="420"/>
        </w:tabs>
        <w:ind w:left="3780" w:hanging="420"/>
      </w:pPr>
      <w:rPr>
        <w:rFonts w:hint="default" w:ascii="Wingdings" w:hAnsi="Wingdings"/>
      </w:rPr>
    </w:lvl>
    <w:lvl w:ilvl="8" w:tentative="0">
      <w:start w:val="1"/>
      <w:numFmt w:val="bullet"/>
      <w:lvlText w:val=""/>
      <w:lvlJc w:val="left"/>
      <w:pPr>
        <w:tabs>
          <w:tab w:val="left" w:pos="420"/>
        </w:tabs>
        <w:ind w:left="4200" w:hanging="420"/>
      </w:pPr>
      <w:rPr>
        <w:rFonts w:hint="default" w:ascii="Wingdings" w:hAnsi="Wingdings"/>
      </w:rPr>
    </w:lvl>
  </w:abstractNum>
  <w:abstractNum w:abstractNumId="37">
    <w:nsid w:val="42E917C8"/>
    <w:multiLevelType w:val="multilevel"/>
    <w:tmpl w:val="42E917C8"/>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8">
    <w:nsid w:val="442E5D3A"/>
    <w:multiLevelType w:val="multilevel"/>
    <w:tmpl w:val="442E5D3A"/>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9">
    <w:nsid w:val="464B627D"/>
    <w:multiLevelType w:val="multilevel"/>
    <w:tmpl w:val="464B627D"/>
    <w:lvl w:ilvl="0" w:tentative="0">
      <w:start w:val="1"/>
      <w:numFmt w:val="decimal"/>
      <w:lvlText w:val="%1."/>
      <w:lvlJc w:val="left"/>
      <w:pPr>
        <w:ind w:left="420" w:hanging="420"/>
      </w:pPr>
      <w:rPr>
        <w:rFonts w:hint="default"/>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0">
    <w:nsid w:val="46AD1995"/>
    <w:multiLevelType w:val="multilevel"/>
    <w:tmpl w:val="46AD1995"/>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1">
    <w:nsid w:val="47FA0055"/>
    <w:multiLevelType w:val="multilevel"/>
    <w:tmpl w:val="47FA0055"/>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2">
    <w:nsid w:val="495745A0"/>
    <w:multiLevelType w:val="multilevel"/>
    <w:tmpl w:val="495745A0"/>
    <w:lvl w:ilvl="0" w:tentative="0">
      <w:start w:val="1"/>
      <w:numFmt w:val="lowerLetter"/>
      <w:lvlText w:val="%1."/>
      <w:lvlJc w:val="left"/>
      <w:pPr>
        <w:ind w:left="831" w:hanging="360"/>
      </w:pPr>
      <w:rPr>
        <w:rFonts w:hint="default"/>
      </w:rPr>
    </w:lvl>
    <w:lvl w:ilvl="1" w:tentative="0">
      <w:start w:val="1"/>
      <w:numFmt w:val="lowerLetter"/>
      <w:lvlText w:val="%2)"/>
      <w:lvlJc w:val="left"/>
      <w:pPr>
        <w:ind w:left="1311" w:hanging="420"/>
      </w:pPr>
    </w:lvl>
    <w:lvl w:ilvl="2" w:tentative="0">
      <w:start w:val="1"/>
      <w:numFmt w:val="lowerRoman"/>
      <w:lvlText w:val="%3."/>
      <w:lvlJc w:val="right"/>
      <w:pPr>
        <w:ind w:left="1731" w:hanging="420"/>
      </w:pPr>
    </w:lvl>
    <w:lvl w:ilvl="3" w:tentative="0">
      <w:start w:val="1"/>
      <w:numFmt w:val="decimal"/>
      <w:lvlText w:val="%4."/>
      <w:lvlJc w:val="left"/>
      <w:pPr>
        <w:ind w:left="2151" w:hanging="420"/>
      </w:pPr>
    </w:lvl>
    <w:lvl w:ilvl="4" w:tentative="0">
      <w:start w:val="1"/>
      <w:numFmt w:val="lowerLetter"/>
      <w:lvlText w:val="%5)"/>
      <w:lvlJc w:val="left"/>
      <w:pPr>
        <w:ind w:left="2571" w:hanging="420"/>
      </w:pPr>
    </w:lvl>
    <w:lvl w:ilvl="5" w:tentative="0">
      <w:start w:val="1"/>
      <w:numFmt w:val="lowerRoman"/>
      <w:lvlText w:val="%6."/>
      <w:lvlJc w:val="right"/>
      <w:pPr>
        <w:ind w:left="2991" w:hanging="420"/>
      </w:pPr>
    </w:lvl>
    <w:lvl w:ilvl="6" w:tentative="0">
      <w:start w:val="1"/>
      <w:numFmt w:val="decimal"/>
      <w:lvlText w:val="%7."/>
      <w:lvlJc w:val="left"/>
      <w:pPr>
        <w:ind w:left="3411" w:hanging="420"/>
      </w:pPr>
    </w:lvl>
    <w:lvl w:ilvl="7" w:tentative="0">
      <w:start w:val="1"/>
      <w:numFmt w:val="lowerLetter"/>
      <w:lvlText w:val="%8)"/>
      <w:lvlJc w:val="left"/>
      <w:pPr>
        <w:ind w:left="3831" w:hanging="420"/>
      </w:pPr>
    </w:lvl>
    <w:lvl w:ilvl="8" w:tentative="0">
      <w:start w:val="1"/>
      <w:numFmt w:val="lowerRoman"/>
      <w:lvlText w:val="%9."/>
      <w:lvlJc w:val="right"/>
      <w:pPr>
        <w:ind w:left="4251" w:hanging="420"/>
      </w:pPr>
    </w:lvl>
  </w:abstractNum>
  <w:abstractNum w:abstractNumId="43">
    <w:nsid w:val="4BC34503"/>
    <w:multiLevelType w:val="multilevel"/>
    <w:tmpl w:val="4BC34503"/>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4">
    <w:nsid w:val="4E70551E"/>
    <w:multiLevelType w:val="multilevel"/>
    <w:tmpl w:val="4E70551E"/>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5">
    <w:nsid w:val="52123948"/>
    <w:multiLevelType w:val="multilevel"/>
    <w:tmpl w:val="52123948"/>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6">
    <w:nsid w:val="52652F88"/>
    <w:multiLevelType w:val="multilevel"/>
    <w:tmpl w:val="52652F88"/>
    <w:lvl w:ilvl="0" w:tentative="0">
      <w:start w:val="1"/>
      <w:numFmt w:val="decimalZero"/>
      <w:pStyle w:val="88"/>
      <w:lvlText w:val="T%1."/>
      <w:lvlJc w:val="left"/>
      <w:pPr>
        <w:ind w:left="1271" w:hanging="420"/>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691" w:hanging="420"/>
      </w:pPr>
    </w:lvl>
    <w:lvl w:ilvl="2" w:tentative="0">
      <w:start w:val="1"/>
      <w:numFmt w:val="lowerRoman"/>
      <w:lvlText w:val="%3."/>
      <w:lvlJc w:val="right"/>
      <w:pPr>
        <w:ind w:left="2111" w:hanging="420"/>
      </w:pPr>
    </w:lvl>
    <w:lvl w:ilvl="3" w:tentative="0">
      <w:start w:val="1"/>
      <w:numFmt w:val="decimal"/>
      <w:lvlText w:val="%4."/>
      <w:lvlJc w:val="left"/>
      <w:pPr>
        <w:ind w:left="2531" w:hanging="420"/>
      </w:pPr>
    </w:lvl>
    <w:lvl w:ilvl="4" w:tentative="0">
      <w:start w:val="1"/>
      <w:numFmt w:val="lowerLetter"/>
      <w:lvlText w:val="%5)"/>
      <w:lvlJc w:val="left"/>
      <w:pPr>
        <w:ind w:left="2951" w:hanging="420"/>
      </w:pPr>
    </w:lvl>
    <w:lvl w:ilvl="5" w:tentative="0">
      <w:start w:val="1"/>
      <w:numFmt w:val="lowerRoman"/>
      <w:lvlText w:val="%6."/>
      <w:lvlJc w:val="right"/>
      <w:pPr>
        <w:ind w:left="3371" w:hanging="420"/>
      </w:pPr>
    </w:lvl>
    <w:lvl w:ilvl="6" w:tentative="0">
      <w:start w:val="1"/>
      <w:numFmt w:val="decimal"/>
      <w:lvlText w:val="%7."/>
      <w:lvlJc w:val="left"/>
      <w:pPr>
        <w:ind w:left="3791" w:hanging="420"/>
      </w:pPr>
    </w:lvl>
    <w:lvl w:ilvl="7" w:tentative="0">
      <w:start w:val="1"/>
      <w:numFmt w:val="lowerLetter"/>
      <w:lvlText w:val="%8)"/>
      <w:lvlJc w:val="left"/>
      <w:pPr>
        <w:ind w:left="4211" w:hanging="420"/>
      </w:pPr>
    </w:lvl>
    <w:lvl w:ilvl="8" w:tentative="0">
      <w:start w:val="1"/>
      <w:numFmt w:val="lowerRoman"/>
      <w:lvlText w:val="%9."/>
      <w:lvlJc w:val="right"/>
      <w:pPr>
        <w:ind w:left="4631" w:hanging="420"/>
      </w:pPr>
    </w:lvl>
  </w:abstractNum>
  <w:abstractNum w:abstractNumId="47">
    <w:nsid w:val="558212AA"/>
    <w:multiLevelType w:val="multilevel"/>
    <w:tmpl w:val="558212AA"/>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8">
    <w:nsid w:val="593517C0"/>
    <w:multiLevelType w:val="multilevel"/>
    <w:tmpl w:val="593517C0"/>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9">
    <w:nsid w:val="59BF3F27"/>
    <w:multiLevelType w:val="multilevel"/>
    <w:tmpl w:val="59BF3F27"/>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0">
    <w:nsid w:val="5B03561F"/>
    <w:multiLevelType w:val="multilevel"/>
    <w:tmpl w:val="5B03561F"/>
    <w:lvl w:ilvl="0" w:tentative="0">
      <w:start w:val="1"/>
      <w:numFmt w:val="decimalZero"/>
      <w:pStyle w:val="54"/>
      <w:lvlText w:val="M%1. "/>
      <w:lvlJc w:val="left"/>
      <w:pPr>
        <w:ind w:left="360" w:hanging="360"/>
      </w:pPr>
      <w:rPr>
        <w:rFonts w:hint="eastAsia" w:ascii="思源黑体 CN Heavy" w:hAnsi="思源黑体 CN Heavy"/>
        <w:b/>
        <w:bCs w:val="0"/>
        <w:i w:val="0"/>
        <w:iCs w:val="0"/>
        <w:caps w:val="0"/>
        <w:smallCaps w:val="0"/>
        <w:strike w:val="0"/>
        <w:dstrike w:val="0"/>
        <w:outline w:val="0"/>
        <w:shadow w:val="0"/>
        <w:emboss w:val="0"/>
        <w:imprint w:val="0"/>
        <w:vanish w:val="0"/>
        <w:color w:val="000000"/>
        <w:spacing w:val="0"/>
        <w:position w:val="0"/>
        <w:sz w:val="24"/>
        <w:u w:val="none"/>
        <w:vertAlign w:val="baseline"/>
        <w14:ligatures w14:val="none"/>
        <w14:numForm w14:val="default"/>
        <w14:numSpacing w14:val="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1">
    <w:nsid w:val="5DE1598D"/>
    <w:multiLevelType w:val="multilevel"/>
    <w:tmpl w:val="5DE1598D"/>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2">
    <w:nsid w:val="60E92830"/>
    <w:multiLevelType w:val="multilevel"/>
    <w:tmpl w:val="60E92830"/>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3">
    <w:nsid w:val="6336541C"/>
    <w:multiLevelType w:val="multilevel"/>
    <w:tmpl w:val="6336541C"/>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4">
    <w:nsid w:val="63E17803"/>
    <w:multiLevelType w:val="multilevel"/>
    <w:tmpl w:val="63E17803"/>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5">
    <w:nsid w:val="640E3978"/>
    <w:multiLevelType w:val="multilevel"/>
    <w:tmpl w:val="640E3978"/>
    <w:lvl w:ilvl="0" w:tentative="0">
      <w:start w:val="1"/>
      <w:numFmt w:val="decimalZero"/>
      <w:pStyle w:val="90"/>
      <w:lvlText w:val="R%1. "/>
      <w:lvlJc w:val="left"/>
      <w:pPr>
        <w:tabs>
          <w:tab w:val="left" w:pos="1213"/>
        </w:tabs>
        <w:ind w:left="1213" w:hanging="362"/>
      </w:pPr>
      <w:rPr>
        <w:rFonts w:hint="eastAsia"/>
        <w:b/>
        <w:bCs w:val="0"/>
        <w:i w:val="0"/>
        <w:iCs w:val="0"/>
        <w:caps w:val="0"/>
        <w:smallCaps w:val="0"/>
        <w:strike w:val="0"/>
        <w:dstrike w:val="0"/>
        <w:outline w:val="0"/>
        <w:shadow w:val="0"/>
        <w:emboss w:val="0"/>
        <w:imprint w:val="0"/>
        <w:vanish w:val="0"/>
        <w:spacing w:val="0"/>
        <w:position w:val="0"/>
        <w:u w:val="none"/>
        <w:vertAlign w:val="baseline"/>
        <w:lang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2531" w:hanging="420"/>
      </w:pPr>
      <w:rPr>
        <w:rFonts w:hint="eastAsia"/>
      </w:rPr>
    </w:lvl>
    <w:lvl w:ilvl="2" w:tentative="0">
      <w:start w:val="1"/>
      <w:numFmt w:val="lowerRoman"/>
      <w:lvlText w:val="%3."/>
      <w:lvlJc w:val="right"/>
      <w:pPr>
        <w:ind w:left="2951" w:hanging="420"/>
      </w:pPr>
      <w:rPr>
        <w:rFonts w:hint="eastAsia"/>
      </w:rPr>
    </w:lvl>
    <w:lvl w:ilvl="3" w:tentative="0">
      <w:start w:val="1"/>
      <w:numFmt w:val="decimal"/>
      <w:lvlText w:val="%4."/>
      <w:lvlJc w:val="left"/>
      <w:pPr>
        <w:ind w:left="3371" w:hanging="420"/>
      </w:pPr>
      <w:rPr>
        <w:rFonts w:hint="eastAsia"/>
      </w:rPr>
    </w:lvl>
    <w:lvl w:ilvl="4" w:tentative="0">
      <w:start w:val="1"/>
      <w:numFmt w:val="lowerLetter"/>
      <w:lvlText w:val="%5)"/>
      <w:lvlJc w:val="left"/>
      <w:pPr>
        <w:ind w:left="3791" w:hanging="420"/>
      </w:pPr>
      <w:rPr>
        <w:rFonts w:hint="eastAsia"/>
      </w:rPr>
    </w:lvl>
    <w:lvl w:ilvl="5" w:tentative="0">
      <w:start w:val="1"/>
      <w:numFmt w:val="lowerRoman"/>
      <w:lvlText w:val="%6."/>
      <w:lvlJc w:val="right"/>
      <w:pPr>
        <w:ind w:left="4211" w:hanging="420"/>
      </w:pPr>
      <w:rPr>
        <w:rFonts w:hint="eastAsia"/>
      </w:rPr>
    </w:lvl>
    <w:lvl w:ilvl="6" w:tentative="0">
      <w:start w:val="1"/>
      <w:numFmt w:val="decimal"/>
      <w:lvlText w:val="%7."/>
      <w:lvlJc w:val="left"/>
      <w:pPr>
        <w:ind w:left="4631" w:hanging="420"/>
      </w:pPr>
      <w:rPr>
        <w:rFonts w:hint="eastAsia"/>
      </w:rPr>
    </w:lvl>
    <w:lvl w:ilvl="7" w:tentative="0">
      <w:start w:val="1"/>
      <w:numFmt w:val="lowerLetter"/>
      <w:lvlText w:val="%8)"/>
      <w:lvlJc w:val="left"/>
      <w:pPr>
        <w:ind w:left="5051" w:hanging="420"/>
      </w:pPr>
      <w:rPr>
        <w:rFonts w:hint="eastAsia"/>
      </w:rPr>
    </w:lvl>
    <w:lvl w:ilvl="8" w:tentative="0">
      <w:start w:val="1"/>
      <w:numFmt w:val="lowerRoman"/>
      <w:lvlText w:val="%9."/>
      <w:lvlJc w:val="right"/>
      <w:pPr>
        <w:ind w:left="5471" w:hanging="420"/>
      </w:pPr>
      <w:rPr>
        <w:rFonts w:hint="eastAsia"/>
      </w:rPr>
    </w:lvl>
  </w:abstractNum>
  <w:abstractNum w:abstractNumId="56">
    <w:nsid w:val="64C112B8"/>
    <w:multiLevelType w:val="multilevel"/>
    <w:tmpl w:val="64C112B8"/>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7">
    <w:nsid w:val="65DC08BC"/>
    <w:multiLevelType w:val="multilevel"/>
    <w:tmpl w:val="65DC08BC"/>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8">
    <w:nsid w:val="69774F4A"/>
    <w:multiLevelType w:val="multilevel"/>
    <w:tmpl w:val="69774F4A"/>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9">
    <w:nsid w:val="6B4A5163"/>
    <w:multiLevelType w:val="multilevel"/>
    <w:tmpl w:val="6B4A5163"/>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0">
    <w:nsid w:val="6B710E60"/>
    <w:multiLevelType w:val="multilevel"/>
    <w:tmpl w:val="6B710E60"/>
    <w:lvl w:ilvl="0" w:tentative="0">
      <w:start w:val="1"/>
      <w:numFmt w:val="bullet"/>
      <w:lvlText w:val=""/>
      <w:lvlJc w:val="left"/>
      <w:pPr>
        <w:ind w:left="1680" w:hanging="420"/>
      </w:pPr>
      <w:rPr>
        <w:rFonts w:hint="default" w:ascii="Wingdings" w:hAnsi="Wingdings"/>
      </w:rPr>
    </w:lvl>
    <w:lvl w:ilvl="1" w:tentative="0">
      <w:start w:val="1"/>
      <w:numFmt w:val="bullet"/>
      <w:lvlText w:val=""/>
      <w:lvlJc w:val="left"/>
      <w:pPr>
        <w:ind w:left="2100" w:hanging="420"/>
      </w:pPr>
      <w:rPr>
        <w:rFonts w:hint="default" w:ascii="Wingdings" w:hAnsi="Wingdings"/>
      </w:rPr>
    </w:lvl>
    <w:lvl w:ilvl="2" w:tentative="0">
      <w:start w:val="1"/>
      <w:numFmt w:val="bullet"/>
      <w:lvlText w:val=""/>
      <w:lvlJc w:val="left"/>
      <w:pPr>
        <w:ind w:left="2520" w:hanging="420"/>
      </w:pPr>
      <w:rPr>
        <w:rFonts w:hint="default" w:ascii="Wingdings" w:hAnsi="Wingdings"/>
      </w:rPr>
    </w:lvl>
    <w:lvl w:ilvl="3" w:tentative="0">
      <w:start w:val="1"/>
      <w:numFmt w:val="bullet"/>
      <w:lvlText w:val=""/>
      <w:lvlJc w:val="left"/>
      <w:pPr>
        <w:ind w:left="2940" w:hanging="420"/>
      </w:pPr>
      <w:rPr>
        <w:rFonts w:hint="default" w:ascii="Wingdings" w:hAnsi="Wingdings"/>
      </w:rPr>
    </w:lvl>
    <w:lvl w:ilvl="4" w:tentative="0">
      <w:start w:val="1"/>
      <w:numFmt w:val="bullet"/>
      <w:lvlText w:val=""/>
      <w:lvlJc w:val="left"/>
      <w:pPr>
        <w:ind w:left="3360" w:hanging="420"/>
      </w:pPr>
      <w:rPr>
        <w:rFonts w:hint="default" w:ascii="Wingdings" w:hAnsi="Wingdings"/>
      </w:rPr>
    </w:lvl>
    <w:lvl w:ilvl="5" w:tentative="0">
      <w:start w:val="1"/>
      <w:numFmt w:val="bullet"/>
      <w:lvlText w:val=""/>
      <w:lvlJc w:val="left"/>
      <w:pPr>
        <w:ind w:left="3780" w:hanging="420"/>
      </w:pPr>
      <w:rPr>
        <w:rFonts w:hint="default" w:ascii="Wingdings" w:hAnsi="Wingdings"/>
      </w:rPr>
    </w:lvl>
    <w:lvl w:ilvl="6" w:tentative="0">
      <w:start w:val="1"/>
      <w:numFmt w:val="bullet"/>
      <w:lvlText w:val=""/>
      <w:lvlJc w:val="left"/>
      <w:pPr>
        <w:ind w:left="4200" w:hanging="420"/>
      </w:pPr>
      <w:rPr>
        <w:rFonts w:hint="default" w:ascii="Wingdings" w:hAnsi="Wingdings"/>
      </w:rPr>
    </w:lvl>
    <w:lvl w:ilvl="7" w:tentative="0">
      <w:start w:val="1"/>
      <w:numFmt w:val="bullet"/>
      <w:lvlText w:val=""/>
      <w:lvlJc w:val="left"/>
      <w:pPr>
        <w:ind w:left="4620" w:hanging="420"/>
      </w:pPr>
      <w:rPr>
        <w:rFonts w:hint="default" w:ascii="Wingdings" w:hAnsi="Wingdings"/>
      </w:rPr>
    </w:lvl>
    <w:lvl w:ilvl="8" w:tentative="0">
      <w:start w:val="1"/>
      <w:numFmt w:val="bullet"/>
      <w:lvlText w:val=""/>
      <w:lvlJc w:val="left"/>
      <w:pPr>
        <w:ind w:left="5040" w:hanging="420"/>
      </w:pPr>
      <w:rPr>
        <w:rFonts w:hint="default" w:ascii="Wingdings" w:hAnsi="Wingdings"/>
      </w:rPr>
    </w:lvl>
  </w:abstractNum>
  <w:abstractNum w:abstractNumId="61">
    <w:nsid w:val="6C72215E"/>
    <w:multiLevelType w:val="multilevel"/>
    <w:tmpl w:val="6C72215E"/>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2">
    <w:nsid w:val="6F27719B"/>
    <w:multiLevelType w:val="multilevel"/>
    <w:tmpl w:val="6F27719B"/>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3">
    <w:nsid w:val="6F990B5E"/>
    <w:multiLevelType w:val="multilevel"/>
    <w:tmpl w:val="6F990B5E"/>
    <w:lvl w:ilvl="0" w:tentative="0">
      <w:start w:val="1"/>
      <w:numFmt w:val="bullet"/>
      <w:pStyle w:val="31"/>
      <w:lvlText w:val=""/>
      <w:lvlJc w:val="left"/>
      <w:pPr>
        <w:ind w:left="1128"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64">
    <w:nsid w:val="72F02B15"/>
    <w:multiLevelType w:val="multilevel"/>
    <w:tmpl w:val="72F02B15"/>
    <w:lvl w:ilvl="0" w:tentative="0">
      <w:start w:val="0"/>
      <w:numFmt w:val="bullet"/>
      <w:suff w:val="space"/>
      <w:lvlText w:val="￮"/>
      <w:lvlJc w:val="left"/>
      <w:rPr>
        <w:color w:val="0070F0"/>
        <w:sz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5">
    <w:nsid w:val="73AB3DEF"/>
    <w:multiLevelType w:val="multilevel"/>
    <w:tmpl w:val="73AB3DEF"/>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6">
    <w:nsid w:val="73C813EF"/>
    <w:multiLevelType w:val="multilevel"/>
    <w:tmpl w:val="73C813EF"/>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420"/>
        </w:tabs>
        <w:ind w:left="1260" w:hanging="420"/>
      </w:pPr>
      <w:rPr>
        <w:rFonts w:hint="default" w:ascii="Wingdings" w:hAnsi="Wingdings"/>
      </w:rPr>
    </w:lvl>
    <w:lvl w:ilvl="2" w:tentative="0">
      <w:start w:val="1"/>
      <w:numFmt w:val="bullet"/>
      <w:lvlText w:val=""/>
      <w:lvlJc w:val="left"/>
      <w:pPr>
        <w:tabs>
          <w:tab w:val="left" w:pos="420"/>
        </w:tabs>
        <w:ind w:left="1680" w:hanging="420"/>
      </w:pPr>
      <w:rPr>
        <w:rFonts w:hint="default" w:ascii="Wingdings" w:hAnsi="Wingdings"/>
      </w:rPr>
    </w:lvl>
    <w:lvl w:ilvl="3" w:tentative="0">
      <w:start w:val="1"/>
      <w:numFmt w:val="bullet"/>
      <w:lvlText w:val=""/>
      <w:lvlJc w:val="left"/>
      <w:pPr>
        <w:tabs>
          <w:tab w:val="left" w:pos="420"/>
        </w:tabs>
        <w:ind w:left="2100" w:hanging="420"/>
      </w:pPr>
      <w:rPr>
        <w:rFonts w:hint="default" w:ascii="Wingdings" w:hAnsi="Wingdings"/>
      </w:rPr>
    </w:lvl>
    <w:lvl w:ilvl="4" w:tentative="0">
      <w:start w:val="1"/>
      <w:numFmt w:val="bullet"/>
      <w:lvlText w:val=""/>
      <w:lvlJc w:val="left"/>
      <w:pPr>
        <w:tabs>
          <w:tab w:val="left" w:pos="420"/>
        </w:tabs>
        <w:ind w:left="2520" w:hanging="420"/>
      </w:pPr>
      <w:rPr>
        <w:rFonts w:hint="default" w:ascii="Wingdings" w:hAnsi="Wingdings"/>
      </w:rPr>
    </w:lvl>
    <w:lvl w:ilvl="5" w:tentative="0">
      <w:start w:val="1"/>
      <w:numFmt w:val="bullet"/>
      <w:lvlText w:val=""/>
      <w:lvlJc w:val="left"/>
      <w:pPr>
        <w:tabs>
          <w:tab w:val="left" w:pos="420"/>
        </w:tabs>
        <w:ind w:left="2940" w:hanging="420"/>
      </w:pPr>
      <w:rPr>
        <w:rFonts w:hint="default" w:ascii="Wingdings" w:hAnsi="Wingdings"/>
      </w:rPr>
    </w:lvl>
    <w:lvl w:ilvl="6" w:tentative="0">
      <w:start w:val="1"/>
      <w:numFmt w:val="bullet"/>
      <w:lvlText w:val=""/>
      <w:lvlJc w:val="left"/>
      <w:pPr>
        <w:tabs>
          <w:tab w:val="left" w:pos="420"/>
        </w:tabs>
        <w:ind w:left="3360" w:hanging="420"/>
      </w:pPr>
      <w:rPr>
        <w:rFonts w:hint="default" w:ascii="Wingdings" w:hAnsi="Wingdings"/>
      </w:rPr>
    </w:lvl>
    <w:lvl w:ilvl="7" w:tentative="0">
      <w:start w:val="1"/>
      <w:numFmt w:val="bullet"/>
      <w:lvlText w:val=""/>
      <w:lvlJc w:val="left"/>
      <w:pPr>
        <w:tabs>
          <w:tab w:val="left" w:pos="420"/>
        </w:tabs>
        <w:ind w:left="3780" w:hanging="420"/>
      </w:pPr>
      <w:rPr>
        <w:rFonts w:hint="default" w:ascii="Wingdings" w:hAnsi="Wingdings"/>
      </w:rPr>
    </w:lvl>
    <w:lvl w:ilvl="8" w:tentative="0">
      <w:start w:val="1"/>
      <w:numFmt w:val="bullet"/>
      <w:lvlText w:val=""/>
      <w:lvlJc w:val="left"/>
      <w:pPr>
        <w:tabs>
          <w:tab w:val="left" w:pos="420"/>
        </w:tabs>
        <w:ind w:left="4200" w:hanging="420"/>
      </w:pPr>
      <w:rPr>
        <w:rFonts w:hint="default" w:ascii="Wingdings" w:hAnsi="Wingdings"/>
      </w:rPr>
    </w:lvl>
  </w:abstractNum>
  <w:abstractNum w:abstractNumId="67">
    <w:nsid w:val="7B164970"/>
    <w:multiLevelType w:val="multilevel"/>
    <w:tmpl w:val="7B164970"/>
    <w:lvl w:ilvl="0" w:tentative="0">
      <w:start w:val="1"/>
      <w:numFmt w:val="decimalZero"/>
      <w:pStyle w:val="48"/>
      <w:lvlText w:val="T%1. "/>
      <w:lvlJc w:val="left"/>
      <w:pPr>
        <w:ind w:left="1211" w:hanging="360"/>
      </w:pPr>
      <w:rPr>
        <w:rFonts w:hint="eastAsia" w:ascii="思源黑体 CN Regular" w:hAnsi="思源黑体 CN Regular"/>
        <w:b/>
        <w:bCs w:val="0"/>
        <w:i w:val="0"/>
        <w:iCs w:val="0"/>
        <w:caps w:val="0"/>
        <w:smallCaps w:val="0"/>
        <w:strike w:val="0"/>
        <w:dstrike w:val="0"/>
        <w:outline w:val="0"/>
        <w:shadow w:val="0"/>
        <w:emboss w:val="0"/>
        <w:imprint w:val="0"/>
        <w:vanish w:val="0"/>
        <w:color w:val="auto"/>
        <w:spacing w:val="0"/>
        <w:position w:val="0"/>
        <w:sz w:val="24"/>
        <w:u w:val="none"/>
        <w:vertAlign w:val="baseline"/>
        <w:lang w:val="en-US"/>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2280" w:hanging="360"/>
      </w:pPr>
    </w:lvl>
    <w:lvl w:ilvl="2" w:tentative="0">
      <w:start w:val="1"/>
      <w:numFmt w:val="lowerRoman"/>
      <w:lvlText w:val="%3."/>
      <w:lvlJc w:val="right"/>
      <w:pPr>
        <w:ind w:left="3000" w:hanging="180"/>
      </w:pPr>
    </w:lvl>
    <w:lvl w:ilvl="3" w:tentative="0">
      <w:start w:val="1"/>
      <w:numFmt w:val="decimal"/>
      <w:lvlText w:val="%4."/>
      <w:lvlJc w:val="left"/>
      <w:pPr>
        <w:ind w:left="3720" w:hanging="360"/>
      </w:pPr>
    </w:lvl>
    <w:lvl w:ilvl="4" w:tentative="0">
      <w:start w:val="1"/>
      <w:numFmt w:val="lowerLetter"/>
      <w:lvlText w:val="%5."/>
      <w:lvlJc w:val="left"/>
      <w:pPr>
        <w:ind w:left="4440" w:hanging="360"/>
      </w:pPr>
    </w:lvl>
    <w:lvl w:ilvl="5" w:tentative="0">
      <w:start w:val="1"/>
      <w:numFmt w:val="lowerRoman"/>
      <w:lvlText w:val="%6."/>
      <w:lvlJc w:val="right"/>
      <w:pPr>
        <w:ind w:left="5160" w:hanging="180"/>
      </w:pPr>
    </w:lvl>
    <w:lvl w:ilvl="6" w:tentative="0">
      <w:start w:val="1"/>
      <w:numFmt w:val="decimal"/>
      <w:lvlText w:val="%7."/>
      <w:lvlJc w:val="left"/>
      <w:pPr>
        <w:ind w:left="5880" w:hanging="360"/>
      </w:pPr>
    </w:lvl>
    <w:lvl w:ilvl="7" w:tentative="0">
      <w:start w:val="1"/>
      <w:numFmt w:val="lowerLetter"/>
      <w:lvlText w:val="%8."/>
      <w:lvlJc w:val="left"/>
      <w:pPr>
        <w:ind w:left="6600" w:hanging="360"/>
      </w:pPr>
    </w:lvl>
    <w:lvl w:ilvl="8" w:tentative="0">
      <w:start w:val="1"/>
      <w:numFmt w:val="lowerRoman"/>
      <w:lvlText w:val="%9."/>
      <w:lvlJc w:val="right"/>
      <w:pPr>
        <w:ind w:left="7320" w:hanging="180"/>
      </w:pPr>
    </w:lvl>
  </w:abstractNum>
  <w:abstractNum w:abstractNumId="68">
    <w:nsid w:val="7CE64D98"/>
    <w:multiLevelType w:val="multilevel"/>
    <w:tmpl w:val="7CE64D98"/>
    <w:lvl w:ilvl="0" w:tentative="0">
      <w:start w:val="0"/>
      <w:numFmt w:val="bullet"/>
      <w:suff w:val="space"/>
      <w:lvlText w:val="•"/>
      <w:lvlJc w:val="left"/>
      <w:rPr>
        <w:color w:val="0070F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9">
    <w:nsid w:val="7DA2056E"/>
    <w:multiLevelType w:val="multilevel"/>
    <w:tmpl w:val="7DA2056E"/>
    <w:lvl w:ilvl="0" w:tentative="0">
      <w:start w:val="1"/>
      <w:numFmt w:val="decimal"/>
      <w:lvlText w:val="%1"/>
      <w:lvlJc w:val="left"/>
      <w:pPr>
        <w:ind w:left="425" w:hanging="425"/>
      </w:pPr>
      <w:rPr>
        <w:rFonts w:hint="eastAsia"/>
      </w:rPr>
    </w:lvl>
    <w:lvl w:ilvl="1" w:tentative="0">
      <w:start w:val="1"/>
      <w:numFmt w:val="decimal"/>
      <w:pStyle w:val="3"/>
      <w:lvlText w:val="%1.%2"/>
      <w:lvlJc w:val="left"/>
      <w:pPr>
        <w:ind w:left="992" w:hanging="567"/>
      </w:p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num w:numId="1">
    <w:abstractNumId w:val="69"/>
  </w:num>
  <w:num w:numId="2">
    <w:abstractNumId w:val="63"/>
  </w:num>
  <w:num w:numId="3">
    <w:abstractNumId w:val="7"/>
  </w:num>
  <w:num w:numId="4">
    <w:abstractNumId w:val="34"/>
  </w:num>
  <w:num w:numId="5">
    <w:abstractNumId w:val="11"/>
  </w:num>
  <w:num w:numId="6">
    <w:abstractNumId w:val="67"/>
  </w:num>
  <w:num w:numId="7">
    <w:abstractNumId w:val="50"/>
  </w:num>
  <w:num w:numId="8">
    <w:abstractNumId w:val="46"/>
  </w:num>
  <w:num w:numId="9">
    <w:abstractNumId w:val="55"/>
  </w:num>
  <w:num w:numId="10">
    <w:abstractNumId w:val="24"/>
  </w:num>
  <w:num w:numId="11">
    <w:abstractNumId w:val="42"/>
  </w:num>
  <w:num w:numId="12">
    <w:abstractNumId w:val="39"/>
  </w:num>
  <w:num w:numId="13">
    <w:abstractNumId w:val="66"/>
  </w:num>
  <w:num w:numId="14">
    <w:abstractNumId w:val="36"/>
  </w:num>
  <w:num w:numId="15">
    <w:abstractNumId w:val="56"/>
  </w:num>
  <w:num w:numId="16">
    <w:abstractNumId w:val="22"/>
  </w:num>
  <w:num w:numId="17">
    <w:abstractNumId w:val="48"/>
  </w:num>
  <w:num w:numId="18">
    <w:abstractNumId w:val="29"/>
  </w:num>
  <w:num w:numId="19">
    <w:abstractNumId w:val="64"/>
  </w:num>
  <w:num w:numId="20">
    <w:abstractNumId w:val="44"/>
  </w:num>
  <w:num w:numId="21">
    <w:abstractNumId w:val="58"/>
  </w:num>
  <w:num w:numId="22">
    <w:abstractNumId w:val="8"/>
  </w:num>
  <w:num w:numId="23">
    <w:abstractNumId w:val="1"/>
  </w:num>
  <w:num w:numId="24">
    <w:abstractNumId w:val="21"/>
  </w:num>
  <w:num w:numId="25">
    <w:abstractNumId w:val="49"/>
  </w:num>
  <w:num w:numId="26">
    <w:abstractNumId w:val="52"/>
  </w:num>
  <w:num w:numId="27">
    <w:abstractNumId w:val="3"/>
  </w:num>
  <w:num w:numId="28">
    <w:abstractNumId w:val="16"/>
  </w:num>
  <w:num w:numId="29">
    <w:abstractNumId w:val="62"/>
  </w:num>
  <w:num w:numId="30">
    <w:abstractNumId w:val="26"/>
  </w:num>
  <w:num w:numId="31">
    <w:abstractNumId w:val="32"/>
  </w:num>
  <w:num w:numId="32">
    <w:abstractNumId w:val="2"/>
  </w:num>
  <w:num w:numId="33">
    <w:abstractNumId w:val="19"/>
  </w:num>
  <w:num w:numId="34">
    <w:abstractNumId w:val="53"/>
  </w:num>
  <w:num w:numId="35">
    <w:abstractNumId w:val="65"/>
  </w:num>
  <w:num w:numId="36">
    <w:abstractNumId w:val="33"/>
  </w:num>
  <w:num w:numId="37">
    <w:abstractNumId w:val="31"/>
  </w:num>
  <w:num w:numId="38">
    <w:abstractNumId w:val="43"/>
  </w:num>
  <w:num w:numId="39">
    <w:abstractNumId w:val="38"/>
  </w:num>
  <w:num w:numId="40">
    <w:abstractNumId w:val="61"/>
  </w:num>
  <w:num w:numId="41">
    <w:abstractNumId w:val="13"/>
  </w:num>
  <w:num w:numId="42">
    <w:abstractNumId w:val="6"/>
  </w:num>
  <w:num w:numId="43">
    <w:abstractNumId w:val="15"/>
  </w:num>
  <w:num w:numId="44">
    <w:abstractNumId w:val="40"/>
  </w:num>
  <w:num w:numId="45">
    <w:abstractNumId w:val="25"/>
  </w:num>
  <w:num w:numId="46">
    <w:abstractNumId w:val="0"/>
  </w:num>
  <w:num w:numId="47">
    <w:abstractNumId w:val="54"/>
  </w:num>
  <w:num w:numId="48">
    <w:abstractNumId w:val="68"/>
  </w:num>
  <w:num w:numId="49">
    <w:abstractNumId w:val="5"/>
  </w:num>
  <w:num w:numId="50">
    <w:abstractNumId w:val="28"/>
  </w:num>
  <w:num w:numId="51">
    <w:abstractNumId w:val="27"/>
  </w:num>
  <w:num w:numId="52">
    <w:abstractNumId w:val="57"/>
  </w:num>
  <w:num w:numId="53">
    <w:abstractNumId w:val="47"/>
  </w:num>
  <w:num w:numId="54">
    <w:abstractNumId w:val="4"/>
  </w:num>
  <w:num w:numId="55">
    <w:abstractNumId w:val="10"/>
  </w:num>
  <w:num w:numId="56">
    <w:abstractNumId w:val="20"/>
  </w:num>
  <w:num w:numId="57">
    <w:abstractNumId w:val="37"/>
  </w:num>
  <w:num w:numId="58">
    <w:abstractNumId w:val="41"/>
  </w:num>
  <w:num w:numId="59">
    <w:abstractNumId w:val="51"/>
  </w:num>
  <w:num w:numId="60">
    <w:abstractNumId w:val="17"/>
  </w:num>
  <w:num w:numId="61">
    <w:abstractNumId w:val="23"/>
  </w:num>
  <w:num w:numId="62">
    <w:abstractNumId w:val="12"/>
  </w:num>
  <w:num w:numId="63">
    <w:abstractNumId w:val="45"/>
  </w:num>
  <w:num w:numId="64">
    <w:abstractNumId w:val="30"/>
  </w:num>
  <w:num w:numId="65">
    <w:abstractNumId w:val="59"/>
  </w:num>
  <w:num w:numId="66">
    <w:abstractNumId w:val="14"/>
  </w:num>
  <w:num w:numId="67">
    <w:abstractNumId w:val="9"/>
  </w:num>
  <w:num w:numId="68">
    <w:abstractNumId w:val="35"/>
  </w:num>
  <w:num w:numId="69">
    <w:abstractNumId w:val="18"/>
  </w:num>
  <w:num w:numId="70">
    <w:abstractNumId w:val="6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8"/>
  <w:bordersDoNotSurroundHeader w:val="0"/>
  <w:bordersDoNotSurroundFooter w:val="0"/>
  <w:documentProtection w:enforcement="0"/>
  <w:defaultTabStop w:val="420"/>
  <w:drawingGridHorizontalSpacing w:val="100"/>
  <w:drawingGridVerticalSpacing w:val="156"/>
  <w:displayHorizontalDrawingGridEvery w:val="1"/>
  <w:displayVerticalDrawingGridEvery w:val="1"/>
  <w:noPunctuationKerning w:val="1"/>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Y5YzIwZTgzNTdkMTQxZTQ5ZTU0ZThiM2EzYTQ5OTYifQ=="/>
  </w:docVars>
  <w:rsids>
    <w:rsidRoot w:val="009D0568"/>
    <w:rsid w:val="00000657"/>
    <w:rsid w:val="00001B4C"/>
    <w:rsid w:val="00001E5C"/>
    <w:rsid w:val="00003018"/>
    <w:rsid w:val="0000309A"/>
    <w:rsid w:val="000033BF"/>
    <w:rsid w:val="0000358F"/>
    <w:rsid w:val="00003799"/>
    <w:rsid w:val="00003A65"/>
    <w:rsid w:val="0000498B"/>
    <w:rsid w:val="00004D65"/>
    <w:rsid w:val="00005405"/>
    <w:rsid w:val="0000585D"/>
    <w:rsid w:val="00005A3B"/>
    <w:rsid w:val="000060FD"/>
    <w:rsid w:val="00006186"/>
    <w:rsid w:val="000064BF"/>
    <w:rsid w:val="000066DC"/>
    <w:rsid w:val="0000715F"/>
    <w:rsid w:val="00007168"/>
    <w:rsid w:val="00007174"/>
    <w:rsid w:val="000076F5"/>
    <w:rsid w:val="00007749"/>
    <w:rsid w:val="00007D66"/>
    <w:rsid w:val="00010ACF"/>
    <w:rsid w:val="00010C27"/>
    <w:rsid w:val="00011BED"/>
    <w:rsid w:val="00012536"/>
    <w:rsid w:val="000128F5"/>
    <w:rsid w:val="000128FC"/>
    <w:rsid w:val="00012B2E"/>
    <w:rsid w:val="00013090"/>
    <w:rsid w:val="0001423A"/>
    <w:rsid w:val="00014884"/>
    <w:rsid w:val="00014C56"/>
    <w:rsid w:val="00014C92"/>
    <w:rsid w:val="00014D31"/>
    <w:rsid w:val="00015660"/>
    <w:rsid w:val="00017E95"/>
    <w:rsid w:val="00020645"/>
    <w:rsid w:val="000216BA"/>
    <w:rsid w:val="00021A12"/>
    <w:rsid w:val="00021C77"/>
    <w:rsid w:val="00021EB2"/>
    <w:rsid w:val="000220AC"/>
    <w:rsid w:val="000228A0"/>
    <w:rsid w:val="00022B96"/>
    <w:rsid w:val="00023D36"/>
    <w:rsid w:val="000248A9"/>
    <w:rsid w:val="00025190"/>
    <w:rsid w:val="00026D3C"/>
    <w:rsid w:val="00026D82"/>
    <w:rsid w:val="00031366"/>
    <w:rsid w:val="00031D92"/>
    <w:rsid w:val="00032BEA"/>
    <w:rsid w:val="00032F22"/>
    <w:rsid w:val="00033085"/>
    <w:rsid w:val="00035BAD"/>
    <w:rsid w:val="00035E5E"/>
    <w:rsid w:val="00040D00"/>
    <w:rsid w:val="00041AEE"/>
    <w:rsid w:val="00041B98"/>
    <w:rsid w:val="00041E59"/>
    <w:rsid w:val="000423C1"/>
    <w:rsid w:val="00042F8E"/>
    <w:rsid w:val="0004309F"/>
    <w:rsid w:val="00044221"/>
    <w:rsid w:val="000456A3"/>
    <w:rsid w:val="00046DFE"/>
    <w:rsid w:val="00047058"/>
    <w:rsid w:val="000476C3"/>
    <w:rsid w:val="00047A46"/>
    <w:rsid w:val="00047BC3"/>
    <w:rsid w:val="00050CEA"/>
    <w:rsid w:val="00050E4E"/>
    <w:rsid w:val="0005110D"/>
    <w:rsid w:val="00052259"/>
    <w:rsid w:val="000522BE"/>
    <w:rsid w:val="00053198"/>
    <w:rsid w:val="000535AC"/>
    <w:rsid w:val="0005409D"/>
    <w:rsid w:val="00055048"/>
    <w:rsid w:val="000552B0"/>
    <w:rsid w:val="00055B07"/>
    <w:rsid w:val="00055C10"/>
    <w:rsid w:val="000562BA"/>
    <w:rsid w:val="00056339"/>
    <w:rsid w:val="0005670B"/>
    <w:rsid w:val="0005672A"/>
    <w:rsid w:val="00056BE6"/>
    <w:rsid w:val="0005773E"/>
    <w:rsid w:val="00060994"/>
    <w:rsid w:val="00060D0A"/>
    <w:rsid w:val="00061869"/>
    <w:rsid w:val="000621DD"/>
    <w:rsid w:val="000622FA"/>
    <w:rsid w:val="000625BF"/>
    <w:rsid w:val="00062B70"/>
    <w:rsid w:val="00062BC2"/>
    <w:rsid w:val="00064430"/>
    <w:rsid w:val="000649B3"/>
    <w:rsid w:val="00064E2B"/>
    <w:rsid w:val="000656D4"/>
    <w:rsid w:val="00066BCE"/>
    <w:rsid w:val="00066C8F"/>
    <w:rsid w:val="000679C8"/>
    <w:rsid w:val="00070991"/>
    <w:rsid w:val="000718C2"/>
    <w:rsid w:val="00073C22"/>
    <w:rsid w:val="00074803"/>
    <w:rsid w:val="00074812"/>
    <w:rsid w:val="00074BCB"/>
    <w:rsid w:val="00076640"/>
    <w:rsid w:val="00076828"/>
    <w:rsid w:val="00076C76"/>
    <w:rsid w:val="000775E4"/>
    <w:rsid w:val="00077EC9"/>
    <w:rsid w:val="00080A8B"/>
    <w:rsid w:val="000811F0"/>
    <w:rsid w:val="000818C4"/>
    <w:rsid w:val="00082861"/>
    <w:rsid w:val="00082C5F"/>
    <w:rsid w:val="000834D8"/>
    <w:rsid w:val="00083A07"/>
    <w:rsid w:val="00083D44"/>
    <w:rsid w:val="00084A9D"/>
    <w:rsid w:val="00084F4B"/>
    <w:rsid w:val="00085264"/>
    <w:rsid w:val="00087160"/>
    <w:rsid w:val="00090EFB"/>
    <w:rsid w:val="0009238D"/>
    <w:rsid w:val="00092725"/>
    <w:rsid w:val="000928FC"/>
    <w:rsid w:val="00092B1D"/>
    <w:rsid w:val="00092F1E"/>
    <w:rsid w:val="000951C2"/>
    <w:rsid w:val="0009528B"/>
    <w:rsid w:val="000952C9"/>
    <w:rsid w:val="0009629F"/>
    <w:rsid w:val="000968C2"/>
    <w:rsid w:val="00096DD2"/>
    <w:rsid w:val="00096EB1"/>
    <w:rsid w:val="0009747E"/>
    <w:rsid w:val="000975C5"/>
    <w:rsid w:val="0009771D"/>
    <w:rsid w:val="000A05A8"/>
    <w:rsid w:val="000A0B45"/>
    <w:rsid w:val="000A1654"/>
    <w:rsid w:val="000A18CE"/>
    <w:rsid w:val="000A1FD3"/>
    <w:rsid w:val="000A268C"/>
    <w:rsid w:val="000A3B00"/>
    <w:rsid w:val="000A3C83"/>
    <w:rsid w:val="000A3DEC"/>
    <w:rsid w:val="000A5114"/>
    <w:rsid w:val="000A544F"/>
    <w:rsid w:val="000A5801"/>
    <w:rsid w:val="000A58B0"/>
    <w:rsid w:val="000A7E27"/>
    <w:rsid w:val="000B0331"/>
    <w:rsid w:val="000B036F"/>
    <w:rsid w:val="000B07BE"/>
    <w:rsid w:val="000B1136"/>
    <w:rsid w:val="000B1539"/>
    <w:rsid w:val="000B1C2A"/>
    <w:rsid w:val="000B285C"/>
    <w:rsid w:val="000B2CA3"/>
    <w:rsid w:val="000B4AA6"/>
    <w:rsid w:val="000B54EE"/>
    <w:rsid w:val="000B6D02"/>
    <w:rsid w:val="000B7616"/>
    <w:rsid w:val="000C0594"/>
    <w:rsid w:val="000C06AA"/>
    <w:rsid w:val="000C099B"/>
    <w:rsid w:val="000C0BF1"/>
    <w:rsid w:val="000C134F"/>
    <w:rsid w:val="000C2472"/>
    <w:rsid w:val="000C3081"/>
    <w:rsid w:val="000C3B78"/>
    <w:rsid w:val="000C3FB6"/>
    <w:rsid w:val="000C44A1"/>
    <w:rsid w:val="000C4B1E"/>
    <w:rsid w:val="000C4D36"/>
    <w:rsid w:val="000C5086"/>
    <w:rsid w:val="000C5F2A"/>
    <w:rsid w:val="000C5FBB"/>
    <w:rsid w:val="000C6B91"/>
    <w:rsid w:val="000C7036"/>
    <w:rsid w:val="000C7591"/>
    <w:rsid w:val="000D06AF"/>
    <w:rsid w:val="000D08E7"/>
    <w:rsid w:val="000D0CD0"/>
    <w:rsid w:val="000D2161"/>
    <w:rsid w:val="000D30A7"/>
    <w:rsid w:val="000D31D0"/>
    <w:rsid w:val="000D3351"/>
    <w:rsid w:val="000D3A82"/>
    <w:rsid w:val="000D44C6"/>
    <w:rsid w:val="000D46D4"/>
    <w:rsid w:val="000D4A3A"/>
    <w:rsid w:val="000D6AD1"/>
    <w:rsid w:val="000D6AE0"/>
    <w:rsid w:val="000D72C0"/>
    <w:rsid w:val="000D7350"/>
    <w:rsid w:val="000D7E78"/>
    <w:rsid w:val="000E0F70"/>
    <w:rsid w:val="000E1B3C"/>
    <w:rsid w:val="000E1C54"/>
    <w:rsid w:val="000E2275"/>
    <w:rsid w:val="000E29FB"/>
    <w:rsid w:val="000E2D9A"/>
    <w:rsid w:val="000E4038"/>
    <w:rsid w:val="000E564A"/>
    <w:rsid w:val="000E5A08"/>
    <w:rsid w:val="000E6982"/>
    <w:rsid w:val="000E6D73"/>
    <w:rsid w:val="000E6E40"/>
    <w:rsid w:val="000E703B"/>
    <w:rsid w:val="000E7C90"/>
    <w:rsid w:val="000E7D43"/>
    <w:rsid w:val="000F0BB6"/>
    <w:rsid w:val="000F2584"/>
    <w:rsid w:val="000F2987"/>
    <w:rsid w:val="000F2EDB"/>
    <w:rsid w:val="000F2FFD"/>
    <w:rsid w:val="000F3767"/>
    <w:rsid w:val="000F46D9"/>
    <w:rsid w:val="000F4A3B"/>
    <w:rsid w:val="000F4F12"/>
    <w:rsid w:val="000F5A6E"/>
    <w:rsid w:val="000F6478"/>
    <w:rsid w:val="000F6614"/>
    <w:rsid w:val="000F6B5C"/>
    <w:rsid w:val="00100699"/>
    <w:rsid w:val="001007B0"/>
    <w:rsid w:val="001007D0"/>
    <w:rsid w:val="00102A42"/>
    <w:rsid w:val="00103874"/>
    <w:rsid w:val="001047A1"/>
    <w:rsid w:val="001050CA"/>
    <w:rsid w:val="00105A7E"/>
    <w:rsid w:val="0010617A"/>
    <w:rsid w:val="00106496"/>
    <w:rsid w:val="001064FA"/>
    <w:rsid w:val="00106899"/>
    <w:rsid w:val="00107968"/>
    <w:rsid w:val="00107A7D"/>
    <w:rsid w:val="00110CAF"/>
    <w:rsid w:val="001115B2"/>
    <w:rsid w:val="0011169C"/>
    <w:rsid w:val="00112740"/>
    <w:rsid w:val="00112872"/>
    <w:rsid w:val="00112A2C"/>
    <w:rsid w:val="00112F82"/>
    <w:rsid w:val="0011397C"/>
    <w:rsid w:val="00113B68"/>
    <w:rsid w:val="001143AF"/>
    <w:rsid w:val="0011458C"/>
    <w:rsid w:val="00114590"/>
    <w:rsid w:val="0011522C"/>
    <w:rsid w:val="0011522D"/>
    <w:rsid w:val="001156B5"/>
    <w:rsid w:val="00115807"/>
    <w:rsid w:val="00115D33"/>
    <w:rsid w:val="001167A3"/>
    <w:rsid w:val="00117374"/>
    <w:rsid w:val="001218A5"/>
    <w:rsid w:val="00122076"/>
    <w:rsid w:val="00124D45"/>
    <w:rsid w:val="001250F6"/>
    <w:rsid w:val="00126293"/>
    <w:rsid w:val="00127145"/>
    <w:rsid w:val="00127A74"/>
    <w:rsid w:val="00127C46"/>
    <w:rsid w:val="00127C61"/>
    <w:rsid w:val="0013051B"/>
    <w:rsid w:val="00130662"/>
    <w:rsid w:val="001317B4"/>
    <w:rsid w:val="00131AA9"/>
    <w:rsid w:val="00131F6D"/>
    <w:rsid w:val="00133424"/>
    <w:rsid w:val="00134912"/>
    <w:rsid w:val="001363F6"/>
    <w:rsid w:val="00136868"/>
    <w:rsid w:val="00136E62"/>
    <w:rsid w:val="0013734B"/>
    <w:rsid w:val="0014008D"/>
    <w:rsid w:val="001404B9"/>
    <w:rsid w:val="001409FD"/>
    <w:rsid w:val="00141153"/>
    <w:rsid w:val="00141ADC"/>
    <w:rsid w:val="00141F95"/>
    <w:rsid w:val="00143A35"/>
    <w:rsid w:val="00144702"/>
    <w:rsid w:val="0014496A"/>
    <w:rsid w:val="00144C80"/>
    <w:rsid w:val="001451F2"/>
    <w:rsid w:val="00146004"/>
    <w:rsid w:val="00146310"/>
    <w:rsid w:val="0014632A"/>
    <w:rsid w:val="00146385"/>
    <w:rsid w:val="001464DE"/>
    <w:rsid w:val="0014670C"/>
    <w:rsid w:val="00146A76"/>
    <w:rsid w:val="00146D44"/>
    <w:rsid w:val="00146DA7"/>
    <w:rsid w:val="001473EC"/>
    <w:rsid w:val="001477AD"/>
    <w:rsid w:val="00147B0C"/>
    <w:rsid w:val="00147C05"/>
    <w:rsid w:val="00147F24"/>
    <w:rsid w:val="001507B5"/>
    <w:rsid w:val="00150E46"/>
    <w:rsid w:val="00151144"/>
    <w:rsid w:val="00151CDB"/>
    <w:rsid w:val="00151D32"/>
    <w:rsid w:val="001520F8"/>
    <w:rsid w:val="001528C4"/>
    <w:rsid w:val="0015351F"/>
    <w:rsid w:val="001537F3"/>
    <w:rsid w:val="0015388B"/>
    <w:rsid w:val="00154393"/>
    <w:rsid w:val="00154F38"/>
    <w:rsid w:val="00155A3B"/>
    <w:rsid w:val="00155BFE"/>
    <w:rsid w:val="00156A09"/>
    <w:rsid w:val="00157677"/>
    <w:rsid w:val="0016172C"/>
    <w:rsid w:val="00161D3E"/>
    <w:rsid w:val="00161ED9"/>
    <w:rsid w:val="00162566"/>
    <w:rsid w:val="00163207"/>
    <w:rsid w:val="001634B9"/>
    <w:rsid w:val="0016353B"/>
    <w:rsid w:val="00165A5E"/>
    <w:rsid w:val="0016646E"/>
    <w:rsid w:val="001672A4"/>
    <w:rsid w:val="00171049"/>
    <w:rsid w:val="00171CFF"/>
    <w:rsid w:val="0017292B"/>
    <w:rsid w:val="00172F9D"/>
    <w:rsid w:val="00173BA5"/>
    <w:rsid w:val="00174708"/>
    <w:rsid w:val="00174E7C"/>
    <w:rsid w:val="00175056"/>
    <w:rsid w:val="00175777"/>
    <w:rsid w:val="00175989"/>
    <w:rsid w:val="00175B0C"/>
    <w:rsid w:val="001765E4"/>
    <w:rsid w:val="00177D59"/>
    <w:rsid w:val="00180030"/>
    <w:rsid w:val="0018109D"/>
    <w:rsid w:val="00181527"/>
    <w:rsid w:val="00181A88"/>
    <w:rsid w:val="00182474"/>
    <w:rsid w:val="00182954"/>
    <w:rsid w:val="00182DEB"/>
    <w:rsid w:val="00184391"/>
    <w:rsid w:val="00185185"/>
    <w:rsid w:val="001851CC"/>
    <w:rsid w:val="001859AB"/>
    <w:rsid w:val="00186B36"/>
    <w:rsid w:val="0018740E"/>
    <w:rsid w:val="00190674"/>
    <w:rsid w:val="00190C1B"/>
    <w:rsid w:val="0019194A"/>
    <w:rsid w:val="00192A3C"/>
    <w:rsid w:val="00192BB5"/>
    <w:rsid w:val="00193658"/>
    <w:rsid w:val="00194237"/>
    <w:rsid w:val="001945F0"/>
    <w:rsid w:val="001947B6"/>
    <w:rsid w:val="0019511A"/>
    <w:rsid w:val="001962A6"/>
    <w:rsid w:val="00196955"/>
    <w:rsid w:val="0019713B"/>
    <w:rsid w:val="00197CD7"/>
    <w:rsid w:val="001A0CBB"/>
    <w:rsid w:val="001A1097"/>
    <w:rsid w:val="001A22FC"/>
    <w:rsid w:val="001A314A"/>
    <w:rsid w:val="001A4EC0"/>
    <w:rsid w:val="001A6188"/>
    <w:rsid w:val="001A7E79"/>
    <w:rsid w:val="001B0AC7"/>
    <w:rsid w:val="001B0E1C"/>
    <w:rsid w:val="001B0FF5"/>
    <w:rsid w:val="001B13BA"/>
    <w:rsid w:val="001B13EA"/>
    <w:rsid w:val="001B1AA7"/>
    <w:rsid w:val="001B1E98"/>
    <w:rsid w:val="001B2D5A"/>
    <w:rsid w:val="001B2DA8"/>
    <w:rsid w:val="001B2F0E"/>
    <w:rsid w:val="001B32B1"/>
    <w:rsid w:val="001B44C7"/>
    <w:rsid w:val="001B454D"/>
    <w:rsid w:val="001B4733"/>
    <w:rsid w:val="001B691D"/>
    <w:rsid w:val="001B6C04"/>
    <w:rsid w:val="001B6DAE"/>
    <w:rsid w:val="001B7D72"/>
    <w:rsid w:val="001C17F7"/>
    <w:rsid w:val="001C1F26"/>
    <w:rsid w:val="001C2022"/>
    <w:rsid w:val="001C206A"/>
    <w:rsid w:val="001C2D8A"/>
    <w:rsid w:val="001C2DF6"/>
    <w:rsid w:val="001C2E96"/>
    <w:rsid w:val="001C426B"/>
    <w:rsid w:val="001C4297"/>
    <w:rsid w:val="001C5238"/>
    <w:rsid w:val="001C537D"/>
    <w:rsid w:val="001C55A5"/>
    <w:rsid w:val="001C5841"/>
    <w:rsid w:val="001C5F47"/>
    <w:rsid w:val="001C5FBD"/>
    <w:rsid w:val="001C60E2"/>
    <w:rsid w:val="001C69E1"/>
    <w:rsid w:val="001C7969"/>
    <w:rsid w:val="001D011E"/>
    <w:rsid w:val="001D0499"/>
    <w:rsid w:val="001D0DE3"/>
    <w:rsid w:val="001D0E89"/>
    <w:rsid w:val="001D1A4C"/>
    <w:rsid w:val="001D1EE4"/>
    <w:rsid w:val="001D29C1"/>
    <w:rsid w:val="001D2FC8"/>
    <w:rsid w:val="001D3E55"/>
    <w:rsid w:val="001D417E"/>
    <w:rsid w:val="001D47F0"/>
    <w:rsid w:val="001D5527"/>
    <w:rsid w:val="001D5802"/>
    <w:rsid w:val="001D736D"/>
    <w:rsid w:val="001D7AB0"/>
    <w:rsid w:val="001E0AE9"/>
    <w:rsid w:val="001E0C16"/>
    <w:rsid w:val="001E164C"/>
    <w:rsid w:val="001E17A3"/>
    <w:rsid w:val="001E1DA7"/>
    <w:rsid w:val="001E1DDB"/>
    <w:rsid w:val="001E2157"/>
    <w:rsid w:val="001E243B"/>
    <w:rsid w:val="001E25B3"/>
    <w:rsid w:val="001E3726"/>
    <w:rsid w:val="001E3D96"/>
    <w:rsid w:val="001E3FE9"/>
    <w:rsid w:val="001E4953"/>
    <w:rsid w:val="001E512C"/>
    <w:rsid w:val="001E5626"/>
    <w:rsid w:val="001E5779"/>
    <w:rsid w:val="001E5A34"/>
    <w:rsid w:val="001E5BC8"/>
    <w:rsid w:val="001E6017"/>
    <w:rsid w:val="001E65E7"/>
    <w:rsid w:val="001E777F"/>
    <w:rsid w:val="001F1D7B"/>
    <w:rsid w:val="001F1FC0"/>
    <w:rsid w:val="001F315B"/>
    <w:rsid w:val="001F48CC"/>
    <w:rsid w:val="001F4D89"/>
    <w:rsid w:val="001F58AD"/>
    <w:rsid w:val="001F6B58"/>
    <w:rsid w:val="001F6D2B"/>
    <w:rsid w:val="001F7060"/>
    <w:rsid w:val="001F72D1"/>
    <w:rsid w:val="001F7626"/>
    <w:rsid w:val="001F7DD6"/>
    <w:rsid w:val="002000C8"/>
    <w:rsid w:val="00200B81"/>
    <w:rsid w:val="00200EA5"/>
    <w:rsid w:val="002010C4"/>
    <w:rsid w:val="00201947"/>
    <w:rsid w:val="0020287E"/>
    <w:rsid w:val="002034B6"/>
    <w:rsid w:val="00204712"/>
    <w:rsid w:val="0020477A"/>
    <w:rsid w:val="00205512"/>
    <w:rsid w:val="00207678"/>
    <w:rsid w:val="00207A7B"/>
    <w:rsid w:val="00207C29"/>
    <w:rsid w:val="00207C88"/>
    <w:rsid w:val="00207F55"/>
    <w:rsid w:val="00207F91"/>
    <w:rsid w:val="00207FDB"/>
    <w:rsid w:val="002102FE"/>
    <w:rsid w:val="00212829"/>
    <w:rsid w:val="00212993"/>
    <w:rsid w:val="00212F0D"/>
    <w:rsid w:val="002134E2"/>
    <w:rsid w:val="00213ACB"/>
    <w:rsid w:val="00213C4C"/>
    <w:rsid w:val="00214ABB"/>
    <w:rsid w:val="00215059"/>
    <w:rsid w:val="002154C7"/>
    <w:rsid w:val="00215C96"/>
    <w:rsid w:val="00216E29"/>
    <w:rsid w:val="00220484"/>
    <w:rsid w:val="00220491"/>
    <w:rsid w:val="00220AA9"/>
    <w:rsid w:val="00220DAA"/>
    <w:rsid w:val="0022122A"/>
    <w:rsid w:val="00222371"/>
    <w:rsid w:val="002226EC"/>
    <w:rsid w:val="00223217"/>
    <w:rsid w:val="00223434"/>
    <w:rsid w:val="002238A1"/>
    <w:rsid w:val="00223EA8"/>
    <w:rsid w:val="00224BAC"/>
    <w:rsid w:val="00224FDF"/>
    <w:rsid w:val="002265D8"/>
    <w:rsid w:val="00226664"/>
    <w:rsid w:val="00227218"/>
    <w:rsid w:val="0022790F"/>
    <w:rsid w:val="002307B3"/>
    <w:rsid w:val="00230B2F"/>
    <w:rsid w:val="00230BE2"/>
    <w:rsid w:val="0023308F"/>
    <w:rsid w:val="0023329D"/>
    <w:rsid w:val="0023463D"/>
    <w:rsid w:val="00234F1F"/>
    <w:rsid w:val="00235D93"/>
    <w:rsid w:val="002362BA"/>
    <w:rsid w:val="002370D2"/>
    <w:rsid w:val="00237167"/>
    <w:rsid w:val="00240D55"/>
    <w:rsid w:val="00241C1B"/>
    <w:rsid w:val="002425FC"/>
    <w:rsid w:val="00242E25"/>
    <w:rsid w:val="0024301D"/>
    <w:rsid w:val="00243CBC"/>
    <w:rsid w:val="00243CD2"/>
    <w:rsid w:val="00243F45"/>
    <w:rsid w:val="00244716"/>
    <w:rsid w:val="00245877"/>
    <w:rsid w:val="002459EC"/>
    <w:rsid w:val="002461E7"/>
    <w:rsid w:val="002465CF"/>
    <w:rsid w:val="00246748"/>
    <w:rsid w:val="00246D84"/>
    <w:rsid w:val="002472BE"/>
    <w:rsid w:val="002476AB"/>
    <w:rsid w:val="00247DE4"/>
    <w:rsid w:val="002502B1"/>
    <w:rsid w:val="00250838"/>
    <w:rsid w:val="0025099A"/>
    <w:rsid w:val="00250F7F"/>
    <w:rsid w:val="00254186"/>
    <w:rsid w:val="00254364"/>
    <w:rsid w:val="002544AF"/>
    <w:rsid w:val="002549E6"/>
    <w:rsid w:val="00255C58"/>
    <w:rsid w:val="0025727E"/>
    <w:rsid w:val="002572E0"/>
    <w:rsid w:val="0025737E"/>
    <w:rsid w:val="00257CBA"/>
    <w:rsid w:val="00257DD1"/>
    <w:rsid w:val="00260FF0"/>
    <w:rsid w:val="00261C77"/>
    <w:rsid w:val="00261D1E"/>
    <w:rsid w:val="00262489"/>
    <w:rsid w:val="002624FE"/>
    <w:rsid w:val="00262856"/>
    <w:rsid w:val="00263518"/>
    <w:rsid w:val="0026415C"/>
    <w:rsid w:val="0026467E"/>
    <w:rsid w:val="00264794"/>
    <w:rsid w:val="00264CBD"/>
    <w:rsid w:val="002713C8"/>
    <w:rsid w:val="0027253E"/>
    <w:rsid w:val="002725E9"/>
    <w:rsid w:val="00272DBE"/>
    <w:rsid w:val="00272E3C"/>
    <w:rsid w:val="00273993"/>
    <w:rsid w:val="00273C59"/>
    <w:rsid w:val="00274566"/>
    <w:rsid w:val="002751C1"/>
    <w:rsid w:val="00275E21"/>
    <w:rsid w:val="00280508"/>
    <w:rsid w:val="002807C1"/>
    <w:rsid w:val="002808B8"/>
    <w:rsid w:val="00280E68"/>
    <w:rsid w:val="0028212E"/>
    <w:rsid w:val="00282AC1"/>
    <w:rsid w:val="002845C6"/>
    <w:rsid w:val="00284BBE"/>
    <w:rsid w:val="00285E8E"/>
    <w:rsid w:val="00286A19"/>
    <w:rsid w:val="00286DAE"/>
    <w:rsid w:val="00290315"/>
    <w:rsid w:val="00290EC3"/>
    <w:rsid w:val="00291280"/>
    <w:rsid w:val="002916C5"/>
    <w:rsid w:val="00292399"/>
    <w:rsid w:val="0029256A"/>
    <w:rsid w:val="00292768"/>
    <w:rsid w:val="00292D93"/>
    <w:rsid w:val="00292E5E"/>
    <w:rsid w:val="00293920"/>
    <w:rsid w:val="0029433A"/>
    <w:rsid w:val="00295A25"/>
    <w:rsid w:val="00295AA2"/>
    <w:rsid w:val="00295AF8"/>
    <w:rsid w:val="0029697E"/>
    <w:rsid w:val="00297B89"/>
    <w:rsid w:val="002A00AC"/>
    <w:rsid w:val="002A00FF"/>
    <w:rsid w:val="002A0408"/>
    <w:rsid w:val="002A1EB1"/>
    <w:rsid w:val="002A2167"/>
    <w:rsid w:val="002A282D"/>
    <w:rsid w:val="002A3A90"/>
    <w:rsid w:val="002A4047"/>
    <w:rsid w:val="002A4863"/>
    <w:rsid w:val="002A492F"/>
    <w:rsid w:val="002A4972"/>
    <w:rsid w:val="002B0A08"/>
    <w:rsid w:val="002B21EF"/>
    <w:rsid w:val="002B2C0D"/>
    <w:rsid w:val="002B3F29"/>
    <w:rsid w:val="002B3F8F"/>
    <w:rsid w:val="002B4B1A"/>
    <w:rsid w:val="002B50F3"/>
    <w:rsid w:val="002B511B"/>
    <w:rsid w:val="002B511F"/>
    <w:rsid w:val="002B5510"/>
    <w:rsid w:val="002B6CB5"/>
    <w:rsid w:val="002B7102"/>
    <w:rsid w:val="002C0597"/>
    <w:rsid w:val="002C0BC2"/>
    <w:rsid w:val="002C0E8A"/>
    <w:rsid w:val="002C18FD"/>
    <w:rsid w:val="002C1D0D"/>
    <w:rsid w:val="002C3D53"/>
    <w:rsid w:val="002C3EA3"/>
    <w:rsid w:val="002C44E3"/>
    <w:rsid w:val="002C5596"/>
    <w:rsid w:val="002C56AF"/>
    <w:rsid w:val="002C57E9"/>
    <w:rsid w:val="002C6B72"/>
    <w:rsid w:val="002C7408"/>
    <w:rsid w:val="002C7B08"/>
    <w:rsid w:val="002C7BFC"/>
    <w:rsid w:val="002D10C6"/>
    <w:rsid w:val="002D1382"/>
    <w:rsid w:val="002D1951"/>
    <w:rsid w:val="002D245A"/>
    <w:rsid w:val="002D2EA8"/>
    <w:rsid w:val="002D2FA5"/>
    <w:rsid w:val="002D3AB7"/>
    <w:rsid w:val="002D4094"/>
    <w:rsid w:val="002D56E0"/>
    <w:rsid w:val="002D5933"/>
    <w:rsid w:val="002D59AB"/>
    <w:rsid w:val="002D59D6"/>
    <w:rsid w:val="002D651D"/>
    <w:rsid w:val="002D6BE2"/>
    <w:rsid w:val="002D6C92"/>
    <w:rsid w:val="002D6F46"/>
    <w:rsid w:val="002D730E"/>
    <w:rsid w:val="002E0C51"/>
    <w:rsid w:val="002E228F"/>
    <w:rsid w:val="002E28D1"/>
    <w:rsid w:val="002E2E04"/>
    <w:rsid w:val="002E2FB8"/>
    <w:rsid w:val="002E3E0E"/>
    <w:rsid w:val="002E3F5C"/>
    <w:rsid w:val="002E4CB8"/>
    <w:rsid w:val="002E5454"/>
    <w:rsid w:val="002E568C"/>
    <w:rsid w:val="002F1269"/>
    <w:rsid w:val="002F1E82"/>
    <w:rsid w:val="002F434F"/>
    <w:rsid w:val="002F43B9"/>
    <w:rsid w:val="002F43E0"/>
    <w:rsid w:val="002F58DC"/>
    <w:rsid w:val="002F6E9D"/>
    <w:rsid w:val="002F6EDE"/>
    <w:rsid w:val="002F79AE"/>
    <w:rsid w:val="0030058B"/>
    <w:rsid w:val="00301485"/>
    <w:rsid w:val="0030244D"/>
    <w:rsid w:val="00302AA4"/>
    <w:rsid w:val="00302EF4"/>
    <w:rsid w:val="00303547"/>
    <w:rsid w:val="00303980"/>
    <w:rsid w:val="00303E68"/>
    <w:rsid w:val="00304285"/>
    <w:rsid w:val="00304A8A"/>
    <w:rsid w:val="00305623"/>
    <w:rsid w:val="00306C75"/>
    <w:rsid w:val="00306DD1"/>
    <w:rsid w:val="003104E1"/>
    <w:rsid w:val="00310AE8"/>
    <w:rsid w:val="00310C4E"/>
    <w:rsid w:val="00310FE8"/>
    <w:rsid w:val="00311B63"/>
    <w:rsid w:val="003125D7"/>
    <w:rsid w:val="0031361C"/>
    <w:rsid w:val="00314FEB"/>
    <w:rsid w:val="003151FE"/>
    <w:rsid w:val="003156DA"/>
    <w:rsid w:val="00317015"/>
    <w:rsid w:val="003202D4"/>
    <w:rsid w:val="0032071D"/>
    <w:rsid w:val="00320EF8"/>
    <w:rsid w:val="0032156A"/>
    <w:rsid w:val="003222FE"/>
    <w:rsid w:val="00322A77"/>
    <w:rsid w:val="00322FA5"/>
    <w:rsid w:val="003238AC"/>
    <w:rsid w:val="00323C7D"/>
    <w:rsid w:val="00324191"/>
    <w:rsid w:val="00324A1B"/>
    <w:rsid w:val="003257D3"/>
    <w:rsid w:val="00326656"/>
    <w:rsid w:val="0032675B"/>
    <w:rsid w:val="00327575"/>
    <w:rsid w:val="003277F7"/>
    <w:rsid w:val="00330696"/>
    <w:rsid w:val="003312D5"/>
    <w:rsid w:val="0033235F"/>
    <w:rsid w:val="0033280C"/>
    <w:rsid w:val="00332BC1"/>
    <w:rsid w:val="0033348C"/>
    <w:rsid w:val="003336E2"/>
    <w:rsid w:val="00334536"/>
    <w:rsid w:val="003362B7"/>
    <w:rsid w:val="0033794B"/>
    <w:rsid w:val="00340E14"/>
    <w:rsid w:val="00341528"/>
    <w:rsid w:val="0034168D"/>
    <w:rsid w:val="00341E3B"/>
    <w:rsid w:val="0034287C"/>
    <w:rsid w:val="00342D08"/>
    <w:rsid w:val="003434C2"/>
    <w:rsid w:val="003434D3"/>
    <w:rsid w:val="00344535"/>
    <w:rsid w:val="00345157"/>
    <w:rsid w:val="00346565"/>
    <w:rsid w:val="00346B30"/>
    <w:rsid w:val="00346BC7"/>
    <w:rsid w:val="003474AF"/>
    <w:rsid w:val="00347762"/>
    <w:rsid w:val="00347BB4"/>
    <w:rsid w:val="00350091"/>
    <w:rsid w:val="003508F0"/>
    <w:rsid w:val="00351A4E"/>
    <w:rsid w:val="00351AA4"/>
    <w:rsid w:val="00352799"/>
    <w:rsid w:val="0035309D"/>
    <w:rsid w:val="003534F0"/>
    <w:rsid w:val="00354163"/>
    <w:rsid w:val="00354734"/>
    <w:rsid w:val="00354A92"/>
    <w:rsid w:val="00356121"/>
    <w:rsid w:val="003561C6"/>
    <w:rsid w:val="0035621C"/>
    <w:rsid w:val="0035629F"/>
    <w:rsid w:val="0035647C"/>
    <w:rsid w:val="00356547"/>
    <w:rsid w:val="00360884"/>
    <w:rsid w:val="00362586"/>
    <w:rsid w:val="00363D90"/>
    <w:rsid w:val="00364106"/>
    <w:rsid w:val="003649A7"/>
    <w:rsid w:val="003649AF"/>
    <w:rsid w:val="00364F1F"/>
    <w:rsid w:val="00365135"/>
    <w:rsid w:val="00365668"/>
    <w:rsid w:val="00365D2F"/>
    <w:rsid w:val="00366AD1"/>
    <w:rsid w:val="0036727A"/>
    <w:rsid w:val="003672A4"/>
    <w:rsid w:val="00370B5C"/>
    <w:rsid w:val="003713E1"/>
    <w:rsid w:val="003725B7"/>
    <w:rsid w:val="00372B67"/>
    <w:rsid w:val="00372F59"/>
    <w:rsid w:val="003750F6"/>
    <w:rsid w:val="00375287"/>
    <w:rsid w:val="003755DC"/>
    <w:rsid w:val="003756FA"/>
    <w:rsid w:val="00375974"/>
    <w:rsid w:val="003759E6"/>
    <w:rsid w:val="00376C80"/>
    <w:rsid w:val="003775BC"/>
    <w:rsid w:val="00377A85"/>
    <w:rsid w:val="003803BE"/>
    <w:rsid w:val="00380C49"/>
    <w:rsid w:val="0038160C"/>
    <w:rsid w:val="00381D2D"/>
    <w:rsid w:val="0038202B"/>
    <w:rsid w:val="00382432"/>
    <w:rsid w:val="003824EB"/>
    <w:rsid w:val="0038351B"/>
    <w:rsid w:val="003835D4"/>
    <w:rsid w:val="00383A04"/>
    <w:rsid w:val="003845BA"/>
    <w:rsid w:val="0038467F"/>
    <w:rsid w:val="0038498E"/>
    <w:rsid w:val="00384B6B"/>
    <w:rsid w:val="003855E0"/>
    <w:rsid w:val="0038588A"/>
    <w:rsid w:val="00385B5B"/>
    <w:rsid w:val="00385EF9"/>
    <w:rsid w:val="00386626"/>
    <w:rsid w:val="0038717F"/>
    <w:rsid w:val="003879A3"/>
    <w:rsid w:val="00390613"/>
    <w:rsid w:val="00390750"/>
    <w:rsid w:val="00390757"/>
    <w:rsid w:val="003908EE"/>
    <w:rsid w:val="00390E49"/>
    <w:rsid w:val="003916E4"/>
    <w:rsid w:val="00391AF3"/>
    <w:rsid w:val="00391F56"/>
    <w:rsid w:val="003921FF"/>
    <w:rsid w:val="0039243E"/>
    <w:rsid w:val="003930BE"/>
    <w:rsid w:val="00393DA9"/>
    <w:rsid w:val="00393F2F"/>
    <w:rsid w:val="0039479C"/>
    <w:rsid w:val="003951AB"/>
    <w:rsid w:val="0039570F"/>
    <w:rsid w:val="00396A24"/>
    <w:rsid w:val="00396C80"/>
    <w:rsid w:val="0039703D"/>
    <w:rsid w:val="0039712C"/>
    <w:rsid w:val="00397154"/>
    <w:rsid w:val="00397331"/>
    <w:rsid w:val="003A03AC"/>
    <w:rsid w:val="003A0889"/>
    <w:rsid w:val="003A0AC7"/>
    <w:rsid w:val="003A0B34"/>
    <w:rsid w:val="003A0D67"/>
    <w:rsid w:val="003A1682"/>
    <w:rsid w:val="003A1911"/>
    <w:rsid w:val="003A1D72"/>
    <w:rsid w:val="003A2274"/>
    <w:rsid w:val="003A3252"/>
    <w:rsid w:val="003A33E8"/>
    <w:rsid w:val="003A35CD"/>
    <w:rsid w:val="003A3769"/>
    <w:rsid w:val="003A581D"/>
    <w:rsid w:val="003A5F0A"/>
    <w:rsid w:val="003A64E7"/>
    <w:rsid w:val="003A7677"/>
    <w:rsid w:val="003A7F0C"/>
    <w:rsid w:val="003B0943"/>
    <w:rsid w:val="003B149E"/>
    <w:rsid w:val="003B23A6"/>
    <w:rsid w:val="003B5A66"/>
    <w:rsid w:val="003B6497"/>
    <w:rsid w:val="003B757B"/>
    <w:rsid w:val="003B7DDF"/>
    <w:rsid w:val="003C0184"/>
    <w:rsid w:val="003C0B19"/>
    <w:rsid w:val="003C174C"/>
    <w:rsid w:val="003C1CE7"/>
    <w:rsid w:val="003C28E6"/>
    <w:rsid w:val="003C2C02"/>
    <w:rsid w:val="003C2CE8"/>
    <w:rsid w:val="003C3489"/>
    <w:rsid w:val="003C44CC"/>
    <w:rsid w:val="003C4753"/>
    <w:rsid w:val="003C4BD2"/>
    <w:rsid w:val="003C4DAC"/>
    <w:rsid w:val="003C565C"/>
    <w:rsid w:val="003C5951"/>
    <w:rsid w:val="003C61BB"/>
    <w:rsid w:val="003C65DB"/>
    <w:rsid w:val="003C6E20"/>
    <w:rsid w:val="003C71FD"/>
    <w:rsid w:val="003C7A51"/>
    <w:rsid w:val="003C7CEE"/>
    <w:rsid w:val="003C7E2B"/>
    <w:rsid w:val="003C7F6C"/>
    <w:rsid w:val="003D043D"/>
    <w:rsid w:val="003D1948"/>
    <w:rsid w:val="003D210E"/>
    <w:rsid w:val="003D2706"/>
    <w:rsid w:val="003D30C5"/>
    <w:rsid w:val="003D3472"/>
    <w:rsid w:val="003D3790"/>
    <w:rsid w:val="003D5073"/>
    <w:rsid w:val="003D5589"/>
    <w:rsid w:val="003D58A1"/>
    <w:rsid w:val="003D6FD7"/>
    <w:rsid w:val="003D72EF"/>
    <w:rsid w:val="003E06E3"/>
    <w:rsid w:val="003E10E7"/>
    <w:rsid w:val="003E13A5"/>
    <w:rsid w:val="003E1B4D"/>
    <w:rsid w:val="003E310B"/>
    <w:rsid w:val="003E33AB"/>
    <w:rsid w:val="003E4462"/>
    <w:rsid w:val="003E6762"/>
    <w:rsid w:val="003E70CF"/>
    <w:rsid w:val="003E7472"/>
    <w:rsid w:val="003E77C1"/>
    <w:rsid w:val="003F0361"/>
    <w:rsid w:val="003F0B0D"/>
    <w:rsid w:val="003F109D"/>
    <w:rsid w:val="003F1E1E"/>
    <w:rsid w:val="003F1FA4"/>
    <w:rsid w:val="003F2125"/>
    <w:rsid w:val="003F2141"/>
    <w:rsid w:val="003F21D2"/>
    <w:rsid w:val="003F41FE"/>
    <w:rsid w:val="003F43D8"/>
    <w:rsid w:val="003F5033"/>
    <w:rsid w:val="003F5835"/>
    <w:rsid w:val="003F5CEC"/>
    <w:rsid w:val="003F5EAE"/>
    <w:rsid w:val="003F6BBF"/>
    <w:rsid w:val="00402BAD"/>
    <w:rsid w:val="00403319"/>
    <w:rsid w:val="004038A2"/>
    <w:rsid w:val="00404FC3"/>
    <w:rsid w:val="00405866"/>
    <w:rsid w:val="00405B78"/>
    <w:rsid w:val="00406140"/>
    <w:rsid w:val="004063E4"/>
    <w:rsid w:val="004063FF"/>
    <w:rsid w:val="00407B3A"/>
    <w:rsid w:val="00411087"/>
    <w:rsid w:val="0041157E"/>
    <w:rsid w:val="00411C96"/>
    <w:rsid w:val="00411CB1"/>
    <w:rsid w:val="00412368"/>
    <w:rsid w:val="004127EE"/>
    <w:rsid w:val="004132AD"/>
    <w:rsid w:val="00413552"/>
    <w:rsid w:val="00414403"/>
    <w:rsid w:val="004155F2"/>
    <w:rsid w:val="004159E1"/>
    <w:rsid w:val="0041620E"/>
    <w:rsid w:val="004170C7"/>
    <w:rsid w:val="004175BE"/>
    <w:rsid w:val="00417C9A"/>
    <w:rsid w:val="00420EE7"/>
    <w:rsid w:val="0042128B"/>
    <w:rsid w:val="00421D24"/>
    <w:rsid w:val="00421DB0"/>
    <w:rsid w:val="00422070"/>
    <w:rsid w:val="00422807"/>
    <w:rsid w:val="00422AD4"/>
    <w:rsid w:val="00423699"/>
    <w:rsid w:val="00423E37"/>
    <w:rsid w:val="00424229"/>
    <w:rsid w:val="0042477C"/>
    <w:rsid w:val="0042547D"/>
    <w:rsid w:val="00425626"/>
    <w:rsid w:val="00426740"/>
    <w:rsid w:val="004270A1"/>
    <w:rsid w:val="00427226"/>
    <w:rsid w:val="00427315"/>
    <w:rsid w:val="00430298"/>
    <w:rsid w:val="00431371"/>
    <w:rsid w:val="00431B87"/>
    <w:rsid w:val="00431D4C"/>
    <w:rsid w:val="0043267E"/>
    <w:rsid w:val="00432BAD"/>
    <w:rsid w:val="004342FE"/>
    <w:rsid w:val="0043461C"/>
    <w:rsid w:val="00434CE1"/>
    <w:rsid w:val="00435A67"/>
    <w:rsid w:val="00435AF4"/>
    <w:rsid w:val="00436A4F"/>
    <w:rsid w:val="00437665"/>
    <w:rsid w:val="0043775D"/>
    <w:rsid w:val="004379E7"/>
    <w:rsid w:val="00437B90"/>
    <w:rsid w:val="00437EAB"/>
    <w:rsid w:val="00441A70"/>
    <w:rsid w:val="004431F8"/>
    <w:rsid w:val="004459DF"/>
    <w:rsid w:val="00446649"/>
    <w:rsid w:val="004467B5"/>
    <w:rsid w:val="00446B21"/>
    <w:rsid w:val="00446CA4"/>
    <w:rsid w:val="00446E63"/>
    <w:rsid w:val="00447151"/>
    <w:rsid w:val="00447F9E"/>
    <w:rsid w:val="00450AEF"/>
    <w:rsid w:val="00450D5C"/>
    <w:rsid w:val="004517D3"/>
    <w:rsid w:val="00451C86"/>
    <w:rsid w:val="00451DEC"/>
    <w:rsid w:val="00451F8F"/>
    <w:rsid w:val="00452572"/>
    <w:rsid w:val="004528C2"/>
    <w:rsid w:val="00453035"/>
    <w:rsid w:val="0045376F"/>
    <w:rsid w:val="00453F59"/>
    <w:rsid w:val="00454686"/>
    <w:rsid w:val="00454A89"/>
    <w:rsid w:val="0045537E"/>
    <w:rsid w:val="004554C4"/>
    <w:rsid w:val="004560C4"/>
    <w:rsid w:val="00456D40"/>
    <w:rsid w:val="004613F9"/>
    <w:rsid w:val="00461931"/>
    <w:rsid w:val="0046262A"/>
    <w:rsid w:val="00462770"/>
    <w:rsid w:val="004632BD"/>
    <w:rsid w:val="00463DF7"/>
    <w:rsid w:val="004640A5"/>
    <w:rsid w:val="00464116"/>
    <w:rsid w:val="00464EE9"/>
    <w:rsid w:val="004658A9"/>
    <w:rsid w:val="0046617F"/>
    <w:rsid w:val="0046638F"/>
    <w:rsid w:val="00467C7A"/>
    <w:rsid w:val="00467DD1"/>
    <w:rsid w:val="00470297"/>
    <w:rsid w:val="00470B1D"/>
    <w:rsid w:val="0047129D"/>
    <w:rsid w:val="00471A1E"/>
    <w:rsid w:val="004721B8"/>
    <w:rsid w:val="00472D2F"/>
    <w:rsid w:val="00473CB4"/>
    <w:rsid w:val="004745ED"/>
    <w:rsid w:val="004747B5"/>
    <w:rsid w:val="00474EA7"/>
    <w:rsid w:val="004750E1"/>
    <w:rsid w:val="00475240"/>
    <w:rsid w:val="00476357"/>
    <w:rsid w:val="00476E0C"/>
    <w:rsid w:val="00477162"/>
    <w:rsid w:val="00477923"/>
    <w:rsid w:val="004779F9"/>
    <w:rsid w:val="0048027F"/>
    <w:rsid w:val="0048168D"/>
    <w:rsid w:val="00482124"/>
    <w:rsid w:val="004821B3"/>
    <w:rsid w:val="00483183"/>
    <w:rsid w:val="0048322A"/>
    <w:rsid w:val="00484690"/>
    <w:rsid w:val="0048603C"/>
    <w:rsid w:val="00486829"/>
    <w:rsid w:val="0048695F"/>
    <w:rsid w:val="00487A47"/>
    <w:rsid w:val="004903E3"/>
    <w:rsid w:val="00490BA2"/>
    <w:rsid w:val="00490F15"/>
    <w:rsid w:val="00491217"/>
    <w:rsid w:val="00491295"/>
    <w:rsid w:val="004931A2"/>
    <w:rsid w:val="004946C8"/>
    <w:rsid w:val="0049488A"/>
    <w:rsid w:val="00496EA3"/>
    <w:rsid w:val="004971EE"/>
    <w:rsid w:val="0049749C"/>
    <w:rsid w:val="00497CC6"/>
    <w:rsid w:val="00497CFD"/>
    <w:rsid w:val="004A0DE6"/>
    <w:rsid w:val="004A1608"/>
    <w:rsid w:val="004A1CB3"/>
    <w:rsid w:val="004A1DAE"/>
    <w:rsid w:val="004A295B"/>
    <w:rsid w:val="004A3966"/>
    <w:rsid w:val="004A3AF5"/>
    <w:rsid w:val="004A4132"/>
    <w:rsid w:val="004A42CB"/>
    <w:rsid w:val="004A50BF"/>
    <w:rsid w:val="004A587E"/>
    <w:rsid w:val="004A58DD"/>
    <w:rsid w:val="004A5AE9"/>
    <w:rsid w:val="004A71B9"/>
    <w:rsid w:val="004A7DD8"/>
    <w:rsid w:val="004B1A0A"/>
    <w:rsid w:val="004B34D4"/>
    <w:rsid w:val="004B3D47"/>
    <w:rsid w:val="004B5AB3"/>
    <w:rsid w:val="004B5BB2"/>
    <w:rsid w:val="004B5D42"/>
    <w:rsid w:val="004B5FE4"/>
    <w:rsid w:val="004B7CEA"/>
    <w:rsid w:val="004C13DD"/>
    <w:rsid w:val="004C1BB9"/>
    <w:rsid w:val="004C2043"/>
    <w:rsid w:val="004C2F46"/>
    <w:rsid w:val="004C326F"/>
    <w:rsid w:val="004C32A9"/>
    <w:rsid w:val="004C35D9"/>
    <w:rsid w:val="004C50EC"/>
    <w:rsid w:val="004C5426"/>
    <w:rsid w:val="004C5A5E"/>
    <w:rsid w:val="004C6F53"/>
    <w:rsid w:val="004D0012"/>
    <w:rsid w:val="004D1271"/>
    <w:rsid w:val="004D1365"/>
    <w:rsid w:val="004D1BFF"/>
    <w:rsid w:val="004D2164"/>
    <w:rsid w:val="004D21E6"/>
    <w:rsid w:val="004D2B64"/>
    <w:rsid w:val="004D2CD2"/>
    <w:rsid w:val="004D343F"/>
    <w:rsid w:val="004D3B2C"/>
    <w:rsid w:val="004D3C4F"/>
    <w:rsid w:val="004D3D6F"/>
    <w:rsid w:val="004D4227"/>
    <w:rsid w:val="004D505B"/>
    <w:rsid w:val="004D5AB4"/>
    <w:rsid w:val="004D5FAF"/>
    <w:rsid w:val="004D68E8"/>
    <w:rsid w:val="004D693F"/>
    <w:rsid w:val="004D7413"/>
    <w:rsid w:val="004D7711"/>
    <w:rsid w:val="004E0D5C"/>
    <w:rsid w:val="004E0E1F"/>
    <w:rsid w:val="004E1070"/>
    <w:rsid w:val="004E240A"/>
    <w:rsid w:val="004E2470"/>
    <w:rsid w:val="004E2795"/>
    <w:rsid w:val="004E2C54"/>
    <w:rsid w:val="004E3542"/>
    <w:rsid w:val="004E4EF5"/>
    <w:rsid w:val="004E62B0"/>
    <w:rsid w:val="004E78C4"/>
    <w:rsid w:val="004E7A05"/>
    <w:rsid w:val="004F02A0"/>
    <w:rsid w:val="004F0AA8"/>
    <w:rsid w:val="004F0D20"/>
    <w:rsid w:val="004F1158"/>
    <w:rsid w:val="004F1541"/>
    <w:rsid w:val="004F4368"/>
    <w:rsid w:val="004F47FE"/>
    <w:rsid w:val="004F4811"/>
    <w:rsid w:val="004F4F12"/>
    <w:rsid w:val="004F5489"/>
    <w:rsid w:val="004F623C"/>
    <w:rsid w:val="004F647A"/>
    <w:rsid w:val="004F6517"/>
    <w:rsid w:val="004F65A0"/>
    <w:rsid w:val="004F674A"/>
    <w:rsid w:val="004F6C2F"/>
    <w:rsid w:val="004F7960"/>
    <w:rsid w:val="005005EA"/>
    <w:rsid w:val="005006EB"/>
    <w:rsid w:val="00500A40"/>
    <w:rsid w:val="00501625"/>
    <w:rsid w:val="0050174B"/>
    <w:rsid w:val="00501870"/>
    <w:rsid w:val="00501B3B"/>
    <w:rsid w:val="00502282"/>
    <w:rsid w:val="00502A60"/>
    <w:rsid w:val="005031DB"/>
    <w:rsid w:val="00503617"/>
    <w:rsid w:val="005040B4"/>
    <w:rsid w:val="00505868"/>
    <w:rsid w:val="00505914"/>
    <w:rsid w:val="00505D2A"/>
    <w:rsid w:val="00505DDF"/>
    <w:rsid w:val="00506628"/>
    <w:rsid w:val="00506B01"/>
    <w:rsid w:val="00506E23"/>
    <w:rsid w:val="0050708E"/>
    <w:rsid w:val="00507383"/>
    <w:rsid w:val="00507F53"/>
    <w:rsid w:val="00510101"/>
    <w:rsid w:val="00510864"/>
    <w:rsid w:val="00510A5B"/>
    <w:rsid w:val="00510E72"/>
    <w:rsid w:val="005113E8"/>
    <w:rsid w:val="0051222D"/>
    <w:rsid w:val="005134FF"/>
    <w:rsid w:val="005143F5"/>
    <w:rsid w:val="00514813"/>
    <w:rsid w:val="00514A56"/>
    <w:rsid w:val="00514E31"/>
    <w:rsid w:val="00514FF0"/>
    <w:rsid w:val="005150E4"/>
    <w:rsid w:val="00515332"/>
    <w:rsid w:val="00515D89"/>
    <w:rsid w:val="00515FB2"/>
    <w:rsid w:val="005161B7"/>
    <w:rsid w:val="0051726B"/>
    <w:rsid w:val="005175C1"/>
    <w:rsid w:val="00517C6C"/>
    <w:rsid w:val="005200B8"/>
    <w:rsid w:val="005210DD"/>
    <w:rsid w:val="00521AF2"/>
    <w:rsid w:val="00521C72"/>
    <w:rsid w:val="005226D3"/>
    <w:rsid w:val="00522946"/>
    <w:rsid w:val="00522D86"/>
    <w:rsid w:val="00522E09"/>
    <w:rsid w:val="005232D2"/>
    <w:rsid w:val="00523A1F"/>
    <w:rsid w:val="00523B65"/>
    <w:rsid w:val="00524B77"/>
    <w:rsid w:val="00525022"/>
    <w:rsid w:val="00525325"/>
    <w:rsid w:val="00526418"/>
    <w:rsid w:val="0052650C"/>
    <w:rsid w:val="00526739"/>
    <w:rsid w:val="00527568"/>
    <w:rsid w:val="00527700"/>
    <w:rsid w:val="005277C2"/>
    <w:rsid w:val="005301AA"/>
    <w:rsid w:val="00530BF7"/>
    <w:rsid w:val="00530CEB"/>
    <w:rsid w:val="00532313"/>
    <w:rsid w:val="0053236D"/>
    <w:rsid w:val="005323AC"/>
    <w:rsid w:val="00532C7D"/>
    <w:rsid w:val="00533C8D"/>
    <w:rsid w:val="00534B64"/>
    <w:rsid w:val="00534E3C"/>
    <w:rsid w:val="00534F34"/>
    <w:rsid w:val="0053519E"/>
    <w:rsid w:val="00536882"/>
    <w:rsid w:val="00536D42"/>
    <w:rsid w:val="00536E93"/>
    <w:rsid w:val="005372B3"/>
    <w:rsid w:val="00537A08"/>
    <w:rsid w:val="00537D56"/>
    <w:rsid w:val="00540291"/>
    <w:rsid w:val="00540E4D"/>
    <w:rsid w:val="005418A0"/>
    <w:rsid w:val="00541BFA"/>
    <w:rsid w:val="00542944"/>
    <w:rsid w:val="00542EE6"/>
    <w:rsid w:val="005432D7"/>
    <w:rsid w:val="00543406"/>
    <w:rsid w:val="00543830"/>
    <w:rsid w:val="00543DEF"/>
    <w:rsid w:val="00543EE6"/>
    <w:rsid w:val="00544548"/>
    <w:rsid w:val="005466A9"/>
    <w:rsid w:val="00546FEE"/>
    <w:rsid w:val="00550893"/>
    <w:rsid w:val="00550F69"/>
    <w:rsid w:val="00551392"/>
    <w:rsid w:val="005514DA"/>
    <w:rsid w:val="00551A25"/>
    <w:rsid w:val="00552A03"/>
    <w:rsid w:val="0055357B"/>
    <w:rsid w:val="00553B1A"/>
    <w:rsid w:val="00554297"/>
    <w:rsid w:val="005548C1"/>
    <w:rsid w:val="00555546"/>
    <w:rsid w:val="00556472"/>
    <w:rsid w:val="005573F4"/>
    <w:rsid w:val="005576EE"/>
    <w:rsid w:val="0055778B"/>
    <w:rsid w:val="005579DC"/>
    <w:rsid w:val="00560491"/>
    <w:rsid w:val="0056054A"/>
    <w:rsid w:val="005613E0"/>
    <w:rsid w:val="0056160B"/>
    <w:rsid w:val="005620A4"/>
    <w:rsid w:val="00562716"/>
    <w:rsid w:val="00562DD3"/>
    <w:rsid w:val="005640EA"/>
    <w:rsid w:val="00564172"/>
    <w:rsid w:val="00564F73"/>
    <w:rsid w:val="0056508F"/>
    <w:rsid w:val="00565402"/>
    <w:rsid w:val="0056557C"/>
    <w:rsid w:val="0056581C"/>
    <w:rsid w:val="005660F6"/>
    <w:rsid w:val="00566314"/>
    <w:rsid w:val="00570DD6"/>
    <w:rsid w:val="005714A8"/>
    <w:rsid w:val="005716C1"/>
    <w:rsid w:val="00571A7C"/>
    <w:rsid w:val="00571FA0"/>
    <w:rsid w:val="00574DF7"/>
    <w:rsid w:val="005750E5"/>
    <w:rsid w:val="00575B52"/>
    <w:rsid w:val="00575CAD"/>
    <w:rsid w:val="0057629D"/>
    <w:rsid w:val="00577F81"/>
    <w:rsid w:val="00580DBC"/>
    <w:rsid w:val="00581AA7"/>
    <w:rsid w:val="00583327"/>
    <w:rsid w:val="00584240"/>
    <w:rsid w:val="00584A51"/>
    <w:rsid w:val="00584A9F"/>
    <w:rsid w:val="00585824"/>
    <w:rsid w:val="005862F7"/>
    <w:rsid w:val="00586304"/>
    <w:rsid w:val="005864A7"/>
    <w:rsid w:val="00586B8D"/>
    <w:rsid w:val="00587C36"/>
    <w:rsid w:val="005904C6"/>
    <w:rsid w:val="00590755"/>
    <w:rsid w:val="00590B0D"/>
    <w:rsid w:val="00591FC5"/>
    <w:rsid w:val="0059279E"/>
    <w:rsid w:val="00593957"/>
    <w:rsid w:val="00594BDF"/>
    <w:rsid w:val="00594F8B"/>
    <w:rsid w:val="00597F06"/>
    <w:rsid w:val="005A0BB2"/>
    <w:rsid w:val="005A2631"/>
    <w:rsid w:val="005A27D3"/>
    <w:rsid w:val="005A2987"/>
    <w:rsid w:val="005A2C85"/>
    <w:rsid w:val="005A2F26"/>
    <w:rsid w:val="005A50D2"/>
    <w:rsid w:val="005A50F4"/>
    <w:rsid w:val="005A57F7"/>
    <w:rsid w:val="005A6A82"/>
    <w:rsid w:val="005A7156"/>
    <w:rsid w:val="005A7E2A"/>
    <w:rsid w:val="005B08C4"/>
    <w:rsid w:val="005B2FE4"/>
    <w:rsid w:val="005B33B9"/>
    <w:rsid w:val="005B3F9F"/>
    <w:rsid w:val="005B41A5"/>
    <w:rsid w:val="005B5E6E"/>
    <w:rsid w:val="005B5F1A"/>
    <w:rsid w:val="005B684C"/>
    <w:rsid w:val="005B6B31"/>
    <w:rsid w:val="005B732E"/>
    <w:rsid w:val="005C0381"/>
    <w:rsid w:val="005C055D"/>
    <w:rsid w:val="005C0570"/>
    <w:rsid w:val="005C0E30"/>
    <w:rsid w:val="005C0EC2"/>
    <w:rsid w:val="005C1D08"/>
    <w:rsid w:val="005C4F28"/>
    <w:rsid w:val="005C64C9"/>
    <w:rsid w:val="005C6560"/>
    <w:rsid w:val="005C67AC"/>
    <w:rsid w:val="005C6BD8"/>
    <w:rsid w:val="005D0F72"/>
    <w:rsid w:val="005D103E"/>
    <w:rsid w:val="005D15EB"/>
    <w:rsid w:val="005D1BB0"/>
    <w:rsid w:val="005D3056"/>
    <w:rsid w:val="005D313D"/>
    <w:rsid w:val="005D4466"/>
    <w:rsid w:val="005D4C8A"/>
    <w:rsid w:val="005D5683"/>
    <w:rsid w:val="005D5859"/>
    <w:rsid w:val="005D601F"/>
    <w:rsid w:val="005D650E"/>
    <w:rsid w:val="005D7416"/>
    <w:rsid w:val="005D79A7"/>
    <w:rsid w:val="005E01B0"/>
    <w:rsid w:val="005E02EB"/>
    <w:rsid w:val="005E064C"/>
    <w:rsid w:val="005E14C8"/>
    <w:rsid w:val="005E1686"/>
    <w:rsid w:val="005E1A47"/>
    <w:rsid w:val="005E21EC"/>
    <w:rsid w:val="005E26C2"/>
    <w:rsid w:val="005E2C72"/>
    <w:rsid w:val="005E317F"/>
    <w:rsid w:val="005E3971"/>
    <w:rsid w:val="005E3EA6"/>
    <w:rsid w:val="005E41A5"/>
    <w:rsid w:val="005E4B1B"/>
    <w:rsid w:val="005E4B4C"/>
    <w:rsid w:val="005E4D82"/>
    <w:rsid w:val="005E5059"/>
    <w:rsid w:val="005E58F3"/>
    <w:rsid w:val="005E592E"/>
    <w:rsid w:val="005E624E"/>
    <w:rsid w:val="005E642A"/>
    <w:rsid w:val="005E6484"/>
    <w:rsid w:val="005E7D08"/>
    <w:rsid w:val="005F0A5D"/>
    <w:rsid w:val="005F2639"/>
    <w:rsid w:val="005F3459"/>
    <w:rsid w:val="005F36E7"/>
    <w:rsid w:val="005F38B9"/>
    <w:rsid w:val="005F47CA"/>
    <w:rsid w:val="00600003"/>
    <w:rsid w:val="0060049E"/>
    <w:rsid w:val="006009ED"/>
    <w:rsid w:val="00601268"/>
    <w:rsid w:val="00601529"/>
    <w:rsid w:val="0060181D"/>
    <w:rsid w:val="006018B2"/>
    <w:rsid w:val="00601902"/>
    <w:rsid w:val="0060228A"/>
    <w:rsid w:val="0060266A"/>
    <w:rsid w:val="00603597"/>
    <w:rsid w:val="006039E1"/>
    <w:rsid w:val="00603AAC"/>
    <w:rsid w:val="00603C67"/>
    <w:rsid w:val="00604146"/>
    <w:rsid w:val="0060438E"/>
    <w:rsid w:val="0060573F"/>
    <w:rsid w:val="00605904"/>
    <w:rsid w:val="0060627F"/>
    <w:rsid w:val="00606933"/>
    <w:rsid w:val="00607644"/>
    <w:rsid w:val="006079B3"/>
    <w:rsid w:val="00607E30"/>
    <w:rsid w:val="00610732"/>
    <w:rsid w:val="00610F18"/>
    <w:rsid w:val="006110A2"/>
    <w:rsid w:val="00611477"/>
    <w:rsid w:val="006117F6"/>
    <w:rsid w:val="00611C86"/>
    <w:rsid w:val="00611F5A"/>
    <w:rsid w:val="00612495"/>
    <w:rsid w:val="0061293B"/>
    <w:rsid w:val="00613331"/>
    <w:rsid w:val="006158E5"/>
    <w:rsid w:val="00615BF7"/>
    <w:rsid w:val="00617592"/>
    <w:rsid w:val="00617CB2"/>
    <w:rsid w:val="00620F85"/>
    <w:rsid w:val="006217BC"/>
    <w:rsid w:val="00621AE5"/>
    <w:rsid w:val="0062276E"/>
    <w:rsid w:val="00623551"/>
    <w:rsid w:val="0062618A"/>
    <w:rsid w:val="006266F4"/>
    <w:rsid w:val="00627177"/>
    <w:rsid w:val="00631BFB"/>
    <w:rsid w:val="00632402"/>
    <w:rsid w:val="0063269D"/>
    <w:rsid w:val="00633F56"/>
    <w:rsid w:val="00634DCA"/>
    <w:rsid w:val="00635615"/>
    <w:rsid w:val="00635F8E"/>
    <w:rsid w:val="006410D5"/>
    <w:rsid w:val="00641262"/>
    <w:rsid w:val="006417D4"/>
    <w:rsid w:val="00641CC1"/>
    <w:rsid w:val="006425E8"/>
    <w:rsid w:val="0064309D"/>
    <w:rsid w:val="00643419"/>
    <w:rsid w:val="00643A89"/>
    <w:rsid w:val="00644253"/>
    <w:rsid w:val="00644402"/>
    <w:rsid w:val="00645C76"/>
    <w:rsid w:val="0064639F"/>
    <w:rsid w:val="00646DA1"/>
    <w:rsid w:val="00650EA4"/>
    <w:rsid w:val="00650F16"/>
    <w:rsid w:val="00651A42"/>
    <w:rsid w:val="00652B3C"/>
    <w:rsid w:val="00653581"/>
    <w:rsid w:val="006536B0"/>
    <w:rsid w:val="00654CBC"/>
    <w:rsid w:val="006554BB"/>
    <w:rsid w:val="00655B76"/>
    <w:rsid w:val="00655EE7"/>
    <w:rsid w:val="006567CD"/>
    <w:rsid w:val="00657063"/>
    <w:rsid w:val="0066089E"/>
    <w:rsid w:val="00660B8E"/>
    <w:rsid w:val="00660C11"/>
    <w:rsid w:val="00660C4C"/>
    <w:rsid w:val="00661FA4"/>
    <w:rsid w:val="00662BB4"/>
    <w:rsid w:val="00662D71"/>
    <w:rsid w:val="00663BB1"/>
    <w:rsid w:val="00663BD7"/>
    <w:rsid w:val="0066428F"/>
    <w:rsid w:val="006642C1"/>
    <w:rsid w:val="0066486A"/>
    <w:rsid w:val="00664D9D"/>
    <w:rsid w:val="00665BFC"/>
    <w:rsid w:val="00666568"/>
    <w:rsid w:val="00666612"/>
    <w:rsid w:val="0066775B"/>
    <w:rsid w:val="00670048"/>
    <w:rsid w:val="006700AA"/>
    <w:rsid w:val="006703CC"/>
    <w:rsid w:val="00670613"/>
    <w:rsid w:val="00670F7B"/>
    <w:rsid w:val="006746E7"/>
    <w:rsid w:val="00676915"/>
    <w:rsid w:val="0067693E"/>
    <w:rsid w:val="00677335"/>
    <w:rsid w:val="00677BAF"/>
    <w:rsid w:val="006802B4"/>
    <w:rsid w:val="00680325"/>
    <w:rsid w:val="006803D9"/>
    <w:rsid w:val="00681CC9"/>
    <w:rsid w:val="00681FB9"/>
    <w:rsid w:val="0068214C"/>
    <w:rsid w:val="006822DF"/>
    <w:rsid w:val="00682B1D"/>
    <w:rsid w:val="00682B26"/>
    <w:rsid w:val="00684625"/>
    <w:rsid w:val="00685387"/>
    <w:rsid w:val="00686718"/>
    <w:rsid w:val="006878AC"/>
    <w:rsid w:val="00687ECF"/>
    <w:rsid w:val="006908A7"/>
    <w:rsid w:val="006910E5"/>
    <w:rsid w:val="00691D4B"/>
    <w:rsid w:val="006922DD"/>
    <w:rsid w:val="00692431"/>
    <w:rsid w:val="00692680"/>
    <w:rsid w:val="006929A6"/>
    <w:rsid w:val="00692DAA"/>
    <w:rsid w:val="00693DD6"/>
    <w:rsid w:val="0069408F"/>
    <w:rsid w:val="006940C5"/>
    <w:rsid w:val="006942DE"/>
    <w:rsid w:val="00694A99"/>
    <w:rsid w:val="00695191"/>
    <w:rsid w:val="0069561F"/>
    <w:rsid w:val="0069573B"/>
    <w:rsid w:val="00696513"/>
    <w:rsid w:val="0069699F"/>
    <w:rsid w:val="00696C5E"/>
    <w:rsid w:val="006970BF"/>
    <w:rsid w:val="006A1625"/>
    <w:rsid w:val="006A1F0B"/>
    <w:rsid w:val="006A2C8A"/>
    <w:rsid w:val="006A3333"/>
    <w:rsid w:val="006A3490"/>
    <w:rsid w:val="006A3D5F"/>
    <w:rsid w:val="006A4109"/>
    <w:rsid w:val="006A4945"/>
    <w:rsid w:val="006A49C2"/>
    <w:rsid w:val="006A5452"/>
    <w:rsid w:val="006A5C13"/>
    <w:rsid w:val="006A5C60"/>
    <w:rsid w:val="006A5D71"/>
    <w:rsid w:val="006A636E"/>
    <w:rsid w:val="006A6EB8"/>
    <w:rsid w:val="006A7D67"/>
    <w:rsid w:val="006A7E73"/>
    <w:rsid w:val="006B038E"/>
    <w:rsid w:val="006B0994"/>
    <w:rsid w:val="006B0C57"/>
    <w:rsid w:val="006B0D2E"/>
    <w:rsid w:val="006B1116"/>
    <w:rsid w:val="006B40F3"/>
    <w:rsid w:val="006B4774"/>
    <w:rsid w:val="006B493B"/>
    <w:rsid w:val="006B5CEC"/>
    <w:rsid w:val="006B73A7"/>
    <w:rsid w:val="006B7580"/>
    <w:rsid w:val="006C047E"/>
    <w:rsid w:val="006C056A"/>
    <w:rsid w:val="006C0836"/>
    <w:rsid w:val="006C4779"/>
    <w:rsid w:val="006C4A9E"/>
    <w:rsid w:val="006C67AF"/>
    <w:rsid w:val="006C72C4"/>
    <w:rsid w:val="006C7365"/>
    <w:rsid w:val="006C75A6"/>
    <w:rsid w:val="006C79BD"/>
    <w:rsid w:val="006C7C70"/>
    <w:rsid w:val="006D0228"/>
    <w:rsid w:val="006D12C6"/>
    <w:rsid w:val="006D1553"/>
    <w:rsid w:val="006D1C6E"/>
    <w:rsid w:val="006D1D30"/>
    <w:rsid w:val="006D2A8E"/>
    <w:rsid w:val="006D2BC2"/>
    <w:rsid w:val="006D389E"/>
    <w:rsid w:val="006D5746"/>
    <w:rsid w:val="006D6647"/>
    <w:rsid w:val="006D6F16"/>
    <w:rsid w:val="006E00BF"/>
    <w:rsid w:val="006E05AD"/>
    <w:rsid w:val="006E07B4"/>
    <w:rsid w:val="006E225C"/>
    <w:rsid w:val="006E241D"/>
    <w:rsid w:val="006E2F33"/>
    <w:rsid w:val="006E3489"/>
    <w:rsid w:val="006E34B4"/>
    <w:rsid w:val="006E3BAF"/>
    <w:rsid w:val="006E4DC6"/>
    <w:rsid w:val="006E6C04"/>
    <w:rsid w:val="006E755C"/>
    <w:rsid w:val="006E7608"/>
    <w:rsid w:val="006F0850"/>
    <w:rsid w:val="006F08F4"/>
    <w:rsid w:val="006F1573"/>
    <w:rsid w:val="006F195A"/>
    <w:rsid w:val="006F1BB1"/>
    <w:rsid w:val="006F1D81"/>
    <w:rsid w:val="006F34CF"/>
    <w:rsid w:val="006F3AB4"/>
    <w:rsid w:val="006F3B85"/>
    <w:rsid w:val="006F40E2"/>
    <w:rsid w:val="006F430D"/>
    <w:rsid w:val="006F464A"/>
    <w:rsid w:val="006F46EE"/>
    <w:rsid w:val="006F5071"/>
    <w:rsid w:val="006F543C"/>
    <w:rsid w:val="006F5778"/>
    <w:rsid w:val="006F5F1E"/>
    <w:rsid w:val="006F5FAF"/>
    <w:rsid w:val="006F5FE3"/>
    <w:rsid w:val="006F63E8"/>
    <w:rsid w:val="006F77FF"/>
    <w:rsid w:val="006F7BAF"/>
    <w:rsid w:val="00700321"/>
    <w:rsid w:val="0070231B"/>
    <w:rsid w:val="0070231E"/>
    <w:rsid w:val="00702980"/>
    <w:rsid w:val="007037C7"/>
    <w:rsid w:val="00704480"/>
    <w:rsid w:val="0070609E"/>
    <w:rsid w:val="00707500"/>
    <w:rsid w:val="00707CB9"/>
    <w:rsid w:val="00707E16"/>
    <w:rsid w:val="00711163"/>
    <w:rsid w:val="00711241"/>
    <w:rsid w:val="00711CE0"/>
    <w:rsid w:val="0071220A"/>
    <w:rsid w:val="0071250E"/>
    <w:rsid w:val="00713CC4"/>
    <w:rsid w:val="00713EA7"/>
    <w:rsid w:val="0071504D"/>
    <w:rsid w:val="00716030"/>
    <w:rsid w:val="007166AE"/>
    <w:rsid w:val="00717EAD"/>
    <w:rsid w:val="0072033C"/>
    <w:rsid w:val="00720E51"/>
    <w:rsid w:val="007219D4"/>
    <w:rsid w:val="00722E86"/>
    <w:rsid w:val="0072340F"/>
    <w:rsid w:val="007238E7"/>
    <w:rsid w:val="00723D1A"/>
    <w:rsid w:val="007241BA"/>
    <w:rsid w:val="00724526"/>
    <w:rsid w:val="00724576"/>
    <w:rsid w:val="007251F8"/>
    <w:rsid w:val="00726A5C"/>
    <w:rsid w:val="00727538"/>
    <w:rsid w:val="007303CA"/>
    <w:rsid w:val="0073150D"/>
    <w:rsid w:val="007335FF"/>
    <w:rsid w:val="0073467F"/>
    <w:rsid w:val="00735561"/>
    <w:rsid w:val="00735647"/>
    <w:rsid w:val="00735B36"/>
    <w:rsid w:val="00737094"/>
    <w:rsid w:val="00737AF5"/>
    <w:rsid w:val="00737E80"/>
    <w:rsid w:val="00740E83"/>
    <w:rsid w:val="007415DB"/>
    <w:rsid w:val="00741CCE"/>
    <w:rsid w:val="00741D19"/>
    <w:rsid w:val="00743AC6"/>
    <w:rsid w:val="00744E01"/>
    <w:rsid w:val="00744F43"/>
    <w:rsid w:val="007453C9"/>
    <w:rsid w:val="007469B3"/>
    <w:rsid w:val="007470C5"/>
    <w:rsid w:val="007470EE"/>
    <w:rsid w:val="00750503"/>
    <w:rsid w:val="007511F0"/>
    <w:rsid w:val="0075127A"/>
    <w:rsid w:val="00752575"/>
    <w:rsid w:val="00754459"/>
    <w:rsid w:val="0075476E"/>
    <w:rsid w:val="007549A5"/>
    <w:rsid w:val="0075507E"/>
    <w:rsid w:val="0075561C"/>
    <w:rsid w:val="007560BB"/>
    <w:rsid w:val="00756684"/>
    <w:rsid w:val="00756B80"/>
    <w:rsid w:val="00756D90"/>
    <w:rsid w:val="00760AA8"/>
    <w:rsid w:val="00761200"/>
    <w:rsid w:val="0076125A"/>
    <w:rsid w:val="007618F2"/>
    <w:rsid w:val="0076374B"/>
    <w:rsid w:val="00763A27"/>
    <w:rsid w:val="00763BC3"/>
    <w:rsid w:val="00764F28"/>
    <w:rsid w:val="00765913"/>
    <w:rsid w:val="0077030B"/>
    <w:rsid w:val="0077069C"/>
    <w:rsid w:val="00771150"/>
    <w:rsid w:val="00771577"/>
    <w:rsid w:val="00771A48"/>
    <w:rsid w:val="00772073"/>
    <w:rsid w:val="00772422"/>
    <w:rsid w:val="00774233"/>
    <w:rsid w:val="00775274"/>
    <w:rsid w:val="00776D14"/>
    <w:rsid w:val="0077708D"/>
    <w:rsid w:val="007800F9"/>
    <w:rsid w:val="00780346"/>
    <w:rsid w:val="00780E7D"/>
    <w:rsid w:val="00782139"/>
    <w:rsid w:val="00783C23"/>
    <w:rsid w:val="00783FD1"/>
    <w:rsid w:val="00783FE4"/>
    <w:rsid w:val="0078467F"/>
    <w:rsid w:val="00784CBA"/>
    <w:rsid w:val="007855E8"/>
    <w:rsid w:val="00785AC2"/>
    <w:rsid w:val="00785D63"/>
    <w:rsid w:val="00786BDD"/>
    <w:rsid w:val="007873B2"/>
    <w:rsid w:val="0079007A"/>
    <w:rsid w:val="00790261"/>
    <w:rsid w:val="0079044E"/>
    <w:rsid w:val="00790788"/>
    <w:rsid w:val="007908F0"/>
    <w:rsid w:val="00790CDA"/>
    <w:rsid w:val="0079182F"/>
    <w:rsid w:val="0079184A"/>
    <w:rsid w:val="00791AA5"/>
    <w:rsid w:val="00791C88"/>
    <w:rsid w:val="007921F7"/>
    <w:rsid w:val="007928DC"/>
    <w:rsid w:val="007929B7"/>
    <w:rsid w:val="00792BC8"/>
    <w:rsid w:val="00793CB7"/>
    <w:rsid w:val="00794EF1"/>
    <w:rsid w:val="00795588"/>
    <w:rsid w:val="0079562A"/>
    <w:rsid w:val="00795F6B"/>
    <w:rsid w:val="00796411"/>
    <w:rsid w:val="00796641"/>
    <w:rsid w:val="00797B98"/>
    <w:rsid w:val="007A0746"/>
    <w:rsid w:val="007A0B1C"/>
    <w:rsid w:val="007A0CC6"/>
    <w:rsid w:val="007A2D25"/>
    <w:rsid w:val="007A49B1"/>
    <w:rsid w:val="007A5515"/>
    <w:rsid w:val="007A6C61"/>
    <w:rsid w:val="007A6F67"/>
    <w:rsid w:val="007A6FB1"/>
    <w:rsid w:val="007B083D"/>
    <w:rsid w:val="007B1ACE"/>
    <w:rsid w:val="007B258B"/>
    <w:rsid w:val="007B3BC5"/>
    <w:rsid w:val="007B3DF9"/>
    <w:rsid w:val="007B43E4"/>
    <w:rsid w:val="007B49F1"/>
    <w:rsid w:val="007B4C00"/>
    <w:rsid w:val="007B4F8F"/>
    <w:rsid w:val="007B51C9"/>
    <w:rsid w:val="007B56AD"/>
    <w:rsid w:val="007B5941"/>
    <w:rsid w:val="007B6235"/>
    <w:rsid w:val="007B707D"/>
    <w:rsid w:val="007C03F2"/>
    <w:rsid w:val="007C12E7"/>
    <w:rsid w:val="007C1457"/>
    <w:rsid w:val="007C2E97"/>
    <w:rsid w:val="007C3186"/>
    <w:rsid w:val="007C4585"/>
    <w:rsid w:val="007C4718"/>
    <w:rsid w:val="007C51DB"/>
    <w:rsid w:val="007C53E1"/>
    <w:rsid w:val="007C5881"/>
    <w:rsid w:val="007C61A8"/>
    <w:rsid w:val="007C6436"/>
    <w:rsid w:val="007C6BED"/>
    <w:rsid w:val="007D0A31"/>
    <w:rsid w:val="007D1355"/>
    <w:rsid w:val="007D165C"/>
    <w:rsid w:val="007D2276"/>
    <w:rsid w:val="007D2423"/>
    <w:rsid w:val="007D299F"/>
    <w:rsid w:val="007D3B42"/>
    <w:rsid w:val="007D478F"/>
    <w:rsid w:val="007D4800"/>
    <w:rsid w:val="007D5F7F"/>
    <w:rsid w:val="007D636F"/>
    <w:rsid w:val="007D660E"/>
    <w:rsid w:val="007D669E"/>
    <w:rsid w:val="007D7415"/>
    <w:rsid w:val="007E0FA2"/>
    <w:rsid w:val="007E116F"/>
    <w:rsid w:val="007E179B"/>
    <w:rsid w:val="007E20C0"/>
    <w:rsid w:val="007E2D78"/>
    <w:rsid w:val="007E34BE"/>
    <w:rsid w:val="007E38CD"/>
    <w:rsid w:val="007E3E6D"/>
    <w:rsid w:val="007E3EF4"/>
    <w:rsid w:val="007E4BA1"/>
    <w:rsid w:val="007E4C9D"/>
    <w:rsid w:val="007E4CD4"/>
    <w:rsid w:val="007E5C1C"/>
    <w:rsid w:val="007E6484"/>
    <w:rsid w:val="007F1980"/>
    <w:rsid w:val="007F1CD0"/>
    <w:rsid w:val="007F2C80"/>
    <w:rsid w:val="007F2F42"/>
    <w:rsid w:val="007F36CF"/>
    <w:rsid w:val="007F3801"/>
    <w:rsid w:val="007F3EA5"/>
    <w:rsid w:val="007F3F6B"/>
    <w:rsid w:val="007F40A0"/>
    <w:rsid w:val="007F4B7E"/>
    <w:rsid w:val="007F500F"/>
    <w:rsid w:val="007F521C"/>
    <w:rsid w:val="007F5487"/>
    <w:rsid w:val="007F586B"/>
    <w:rsid w:val="007F5CF8"/>
    <w:rsid w:val="007F7579"/>
    <w:rsid w:val="007F78E4"/>
    <w:rsid w:val="008009B3"/>
    <w:rsid w:val="00801BD8"/>
    <w:rsid w:val="00802026"/>
    <w:rsid w:val="00802044"/>
    <w:rsid w:val="008025E6"/>
    <w:rsid w:val="00802BB4"/>
    <w:rsid w:val="00802EFA"/>
    <w:rsid w:val="00803A9B"/>
    <w:rsid w:val="0080412D"/>
    <w:rsid w:val="00804422"/>
    <w:rsid w:val="00804B3F"/>
    <w:rsid w:val="00804C6A"/>
    <w:rsid w:val="00804F5F"/>
    <w:rsid w:val="0080559B"/>
    <w:rsid w:val="0080578F"/>
    <w:rsid w:val="00805A41"/>
    <w:rsid w:val="00805F66"/>
    <w:rsid w:val="00806F35"/>
    <w:rsid w:val="00810718"/>
    <w:rsid w:val="00811831"/>
    <w:rsid w:val="0081187F"/>
    <w:rsid w:val="00811BAC"/>
    <w:rsid w:val="00811DDD"/>
    <w:rsid w:val="008122B4"/>
    <w:rsid w:val="00812D42"/>
    <w:rsid w:val="00813047"/>
    <w:rsid w:val="008141E8"/>
    <w:rsid w:val="00814576"/>
    <w:rsid w:val="008145B2"/>
    <w:rsid w:val="00814F95"/>
    <w:rsid w:val="00817B67"/>
    <w:rsid w:val="00817BFE"/>
    <w:rsid w:val="00817D2E"/>
    <w:rsid w:val="00817FAF"/>
    <w:rsid w:val="008204D2"/>
    <w:rsid w:val="00820618"/>
    <w:rsid w:val="0082083B"/>
    <w:rsid w:val="0082087D"/>
    <w:rsid w:val="008210AE"/>
    <w:rsid w:val="008218EA"/>
    <w:rsid w:val="00821D81"/>
    <w:rsid w:val="00822E80"/>
    <w:rsid w:val="00823344"/>
    <w:rsid w:val="00823356"/>
    <w:rsid w:val="0082354F"/>
    <w:rsid w:val="00823BAA"/>
    <w:rsid w:val="00823C65"/>
    <w:rsid w:val="00823C79"/>
    <w:rsid w:val="00823D86"/>
    <w:rsid w:val="00825756"/>
    <w:rsid w:val="00826659"/>
    <w:rsid w:val="008269C9"/>
    <w:rsid w:val="00827AA6"/>
    <w:rsid w:val="008303C8"/>
    <w:rsid w:val="00830709"/>
    <w:rsid w:val="00830B13"/>
    <w:rsid w:val="00830DA8"/>
    <w:rsid w:val="0083190C"/>
    <w:rsid w:val="008331A9"/>
    <w:rsid w:val="0083335B"/>
    <w:rsid w:val="00833665"/>
    <w:rsid w:val="00834230"/>
    <w:rsid w:val="008355F5"/>
    <w:rsid w:val="00835C14"/>
    <w:rsid w:val="00835F84"/>
    <w:rsid w:val="0083721B"/>
    <w:rsid w:val="008373D3"/>
    <w:rsid w:val="008374CE"/>
    <w:rsid w:val="0083786F"/>
    <w:rsid w:val="0083799D"/>
    <w:rsid w:val="00837C7C"/>
    <w:rsid w:val="008403A5"/>
    <w:rsid w:val="008409B1"/>
    <w:rsid w:val="008420A1"/>
    <w:rsid w:val="0084284D"/>
    <w:rsid w:val="00843293"/>
    <w:rsid w:val="00843BC7"/>
    <w:rsid w:val="00844730"/>
    <w:rsid w:val="00844FEA"/>
    <w:rsid w:val="00845568"/>
    <w:rsid w:val="008455D2"/>
    <w:rsid w:val="0084584E"/>
    <w:rsid w:val="00845A1A"/>
    <w:rsid w:val="0084678E"/>
    <w:rsid w:val="00846B5E"/>
    <w:rsid w:val="00847798"/>
    <w:rsid w:val="00847FB1"/>
    <w:rsid w:val="008509B6"/>
    <w:rsid w:val="00850CA4"/>
    <w:rsid w:val="008511F4"/>
    <w:rsid w:val="00851E50"/>
    <w:rsid w:val="00852CA8"/>
    <w:rsid w:val="008530D0"/>
    <w:rsid w:val="00853756"/>
    <w:rsid w:val="00853D79"/>
    <w:rsid w:val="00854CB6"/>
    <w:rsid w:val="00854E4E"/>
    <w:rsid w:val="008554AE"/>
    <w:rsid w:val="00855519"/>
    <w:rsid w:val="0085577F"/>
    <w:rsid w:val="00855BCC"/>
    <w:rsid w:val="0085757A"/>
    <w:rsid w:val="00860BCD"/>
    <w:rsid w:val="00861F3B"/>
    <w:rsid w:val="00862123"/>
    <w:rsid w:val="0086270D"/>
    <w:rsid w:val="00862BCC"/>
    <w:rsid w:val="008637B6"/>
    <w:rsid w:val="00863A56"/>
    <w:rsid w:val="00863ABF"/>
    <w:rsid w:val="00864B0D"/>
    <w:rsid w:val="00864B85"/>
    <w:rsid w:val="00865499"/>
    <w:rsid w:val="008661E3"/>
    <w:rsid w:val="00866439"/>
    <w:rsid w:val="00866A44"/>
    <w:rsid w:val="008670B0"/>
    <w:rsid w:val="00867A7C"/>
    <w:rsid w:val="0087354E"/>
    <w:rsid w:val="008735D5"/>
    <w:rsid w:val="00873726"/>
    <w:rsid w:val="00874586"/>
    <w:rsid w:val="00874706"/>
    <w:rsid w:val="00874D4B"/>
    <w:rsid w:val="008752AC"/>
    <w:rsid w:val="008756BE"/>
    <w:rsid w:val="00875F4F"/>
    <w:rsid w:val="00876E56"/>
    <w:rsid w:val="0087749E"/>
    <w:rsid w:val="008804A7"/>
    <w:rsid w:val="008819EA"/>
    <w:rsid w:val="00884693"/>
    <w:rsid w:val="00885337"/>
    <w:rsid w:val="00885FA5"/>
    <w:rsid w:val="008869B2"/>
    <w:rsid w:val="00886D05"/>
    <w:rsid w:val="008879E0"/>
    <w:rsid w:val="00890C34"/>
    <w:rsid w:val="008911AE"/>
    <w:rsid w:val="008912FB"/>
    <w:rsid w:val="008937E0"/>
    <w:rsid w:val="008944F4"/>
    <w:rsid w:val="0089491B"/>
    <w:rsid w:val="00895182"/>
    <w:rsid w:val="008957E0"/>
    <w:rsid w:val="00895A75"/>
    <w:rsid w:val="00897A88"/>
    <w:rsid w:val="00897E49"/>
    <w:rsid w:val="008A02DE"/>
    <w:rsid w:val="008A0407"/>
    <w:rsid w:val="008A09A0"/>
    <w:rsid w:val="008A1788"/>
    <w:rsid w:val="008A1D41"/>
    <w:rsid w:val="008A21FE"/>
    <w:rsid w:val="008A2833"/>
    <w:rsid w:val="008A2E0C"/>
    <w:rsid w:val="008A2EF8"/>
    <w:rsid w:val="008A35F0"/>
    <w:rsid w:val="008A3D01"/>
    <w:rsid w:val="008A3D78"/>
    <w:rsid w:val="008A3F20"/>
    <w:rsid w:val="008A43D4"/>
    <w:rsid w:val="008A44A4"/>
    <w:rsid w:val="008A4895"/>
    <w:rsid w:val="008A4F5A"/>
    <w:rsid w:val="008A53A4"/>
    <w:rsid w:val="008A559C"/>
    <w:rsid w:val="008A59C5"/>
    <w:rsid w:val="008A6B2F"/>
    <w:rsid w:val="008A7B17"/>
    <w:rsid w:val="008B0093"/>
    <w:rsid w:val="008B0154"/>
    <w:rsid w:val="008B1011"/>
    <w:rsid w:val="008B194F"/>
    <w:rsid w:val="008B1F9A"/>
    <w:rsid w:val="008B2E1E"/>
    <w:rsid w:val="008B3016"/>
    <w:rsid w:val="008B36BA"/>
    <w:rsid w:val="008B63F8"/>
    <w:rsid w:val="008B7A3D"/>
    <w:rsid w:val="008C358D"/>
    <w:rsid w:val="008C45D7"/>
    <w:rsid w:val="008C478C"/>
    <w:rsid w:val="008C571B"/>
    <w:rsid w:val="008C5990"/>
    <w:rsid w:val="008C644B"/>
    <w:rsid w:val="008C6705"/>
    <w:rsid w:val="008C6F51"/>
    <w:rsid w:val="008D0015"/>
    <w:rsid w:val="008D0BC2"/>
    <w:rsid w:val="008D161A"/>
    <w:rsid w:val="008D2923"/>
    <w:rsid w:val="008D3149"/>
    <w:rsid w:val="008D35FB"/>
    <w:rsid w:val="008D3DF5"/>
    <w:rsid w:val="008D4C09"/>
    <w:rsid w:val="008D5B54"/>
    <w:rsid w:val="008D634F"/>
    <w:rsid w:val="008D67EF"/>
    <w:rsid w:val="008D72EE"/>
    <w:rsid w:val="008D7362"/>
    <w:rsid w:val="008D7C30"/>
    <w:rsid w:val="008E036D"/>
    <w:rsid w:val="008E098C"/>
    <w:rsid w:val="008E0B86"/>
    <w:rsid w:val="008E1A12"/>
    <w:rsid w:val="008E1B8C"/>
    <w:rsid w:val="008E1B9D"/>
    <w:rsid w:val="008E23F1"/>
    <w:rsid w:val="008E25B7"/>
    <w:rsid w:val="008E2C77"/>
    <w:rsid w:val="008E4923"/>
    <w:rsid w:val="008E49B4"/>
    <w:rsid w:val="008E524C"/>
    <w:rsid w:val="008E6FCA"/>
    <w:rsid w:val="008F0961"/>
    <w:rsid w:val="008F09C6"/>
    <w:rsid w:val="008F37C2"/>
    <w:rsid w:val="008F383D"/>
    <w:rsid w:val="008F6FA8"/>
    <w:rsid w:val="008F76D7"/>
    <w:rsid w:val="0090007A"/>
    <w:rsid w:val="00900FEE"/>
    <w:rsid w:val="00901020"/>
    <w:rsid w:val="00901389"/>
    <w:rsid w:val="0090159E"/>
    <w:rsid w:val="00902B48"/>
    <w:rsid w:val="009049D9"/>
    <w:rsid w:val="009050FF"/>
    <w:rsid w:val="009054AD"/>
    <w:rsid w:val="00905797"/>
    <w:rsid w:val="00906D3C"/>
    <w:rsid w:val="009071A2"/>
    <w:rsid w:val="009078E5"/>
    <w:rsid w:val="00907950"/>
    <w:rsid w:val="00907A3F"/>
    <w:rsid w:val="00907F4A"/>
    <w:rsid w:val="00910657"/>
    <w:rsid w:val="00911782"/>
    <w:rsid w:val="00911BA4"/>
    <w:rsid w:val="009124B0"/>
    <w:rsid w:val="0091313B"/>
    <w:rsid w:val="0091328E"/>
    <w:rsid w:val="00913832"/>
    <w:rsid w:val="0091383A"/>
    <w:rsid w:val="00913C86"/>
    <w:rsid w:val="0091436C"/>
    <w:rsid w:val="00914D75"/>
    <w:rsid w:val="0091565C"/>
    <w:rsid w:val="00915AFF"/>
    <w:rsid w:val="00916638"/>
    <w:rsid w:val="00917A45"/>
    <w:rsid w:val="00917F97"/>
    <w:rsid w:val="0092006D"/>
    <w:rsid w:val="009206D1"/>
    <w:rsid w:val="00920713"/>
    <w:rsid w:val="00921681"/>
    <w:rsid w:val="00921CDF"/>
    <w:rsid w:val="00923090"/>
    <w:rsid w:val="00923CCF"/>
    <w:rsid w:val="0092521D"/>
    <w:rsid w:val="0092531F"/>
    <w:rsid w:val="00925EE5"/>
    <w:rsid w:val="009263F3"/>
    <w:rsid w:val="00926B34"/>
    <w:rsid w:val="00926EAB"/>
    <w:rsid w:val="00926F59"/>
    <w:rsid w:val="00927777"/>
    <w:rsid w:val="009278C1"/>
    <w:rsid w:val="00927C4B"/>
    <w:rsid w:val="00930021"/>
    <w:rsid w:val="009302EF"/>
    <w:rsid w:val="009308E2"/>
    <w:rsid w:val="009317BE"/>
    <w:rsid w:val="00932477"/>
    <w:rsid w:val="00933127"/>
    <w:rsid w:val="00933E2E"/>
    <w:rsid w:val="00935646"/>
    <w:rsid w:val="00935916"/>
    <w:rsid w:val="00935921"/>
    <w:rsid w:val="00936240"/>
    <w:rsid w:val="0093627D"/>
    <w:rsid w:val="00936BDF"/>
    <w:rsid w:val="00937DA6"/>
    <w:rsid w:val="009405C8"/>
    <w:rsid w:val="00941256"/>
    <w:rsid w:val="00942281"/>
    <w:rsid w:val="00942632"/>
    <w:rsid w:val="009434AE"/>
    <w:rsid w:val="00944D7C"/>
    <w:rsid w:val="00946329"/>
    <w:rsid w:val="009469A5"/>
    <w:rsid w:val="00946A4E"/>
    <w:rsid w:val="00946E2B"/>
    <w:rsid w:val="00946F8B"/>
    <w:rsid w:val="00947DB8"/>
    <w:rsid w:val="00950CEF"/>
    <w:rsid w:val="00950D78"/>
    <w:rsid w:val="009515A4"/>
    <w:rsid w:val="009527A4"/>
    <w:rsid w:val="0095317E"/>
    <w:rsid w:val="00954117"/>
    <w:rsid w:val="00954AF9"/>
    <w:rsid w:val="00954B8C"/>
    <w:rsid w:val="00954E35"/>
    <w:rsid w:val="00955356"/>
    <w:rsid w:val="00955559"/>
    <w:rsid w:val="009555A5"/>
    <w:rsid w:val="00955969"/>
    <w:rsid w:val="00955A99"/>
    <w:rsid w:val="00955B93"/>
    <w:rsid w:val="0095645B"/>
    <w:rsid w:val="009571DB"/>
    <w:rsid w:val="0095736D"/>
    <w:rsid w:val="009578AD"/>
    <w:rsid w:val="00957A07"/>
    <w:rsid w:val="009604AD"/>
    <w:rsid w:val="009605B0"/>
    <w:rsid w:val="00961F91"/>
    <w:rsid w:val="0096220A"/>
    <w:rsid w:val="00962D64"/>
    <w:rsid w:val="0096360E"/>
    <w:rsid w:val="00963B35"/>
    <w:rsid w:val="00963E62"/>
    <w:rsid w:val="009657E8"/>
    <w:rsid w:val="00965D1A"/>
    <w:rsid w:val="00965DB2"/>
    <w:rsid w:val="00967A6C"/>
    <w:rsid w:val="00970D82"/>
    <w:rsid w:val="00971030"/>
    <w:rsid w:val="00971CF5"/>
    <w:rsid w:val="0097259F"/>
    <w:rsid w:val="00972BB4"/>
    <w:rsid w:val="009730C7"/>
    <w:rsid w:val="0097313E"/>
    <w:rsid w:val="00973D89"/>
    <w:rsid w:val="0097462A"/>
    <w:rsid w:val="009748F1"/>
    <w:rsid w:val="0097533D"/>
    <w:rsid w:val="00975624"/>
    <w:rsid w:val="009760E6"/>
    <w:rsid w:val="0097643B"/>
    <w:rsid w:val="009776A5"/>
    <w:rsid w:val="0097779D"/>
    <w:rsid w:val="00977BA8"/>
    <w:rsid w:val="00977F70"/>
    <w:rsid w:val="00981CA3"/>
    <w:rsid w:val="00981E6C"/>
    <w:rsid w:val="00982507"/>
    <w:rsid w:val="00982519"/>
    <w:rsid w:val="00983783"/>
    <w:rsid w:val="00984A4C"/>
    <w:rsid w:val="00985681"/>
    <w:rsid w:val="009856B6"/>
    <w:rsid w:val="009856F1"/>
    <w:rsid w:val="00985A3A"/>
    <w:rsid w:val="00985D61"/>
    <w:rsid w:val="00986A54"/>
    <w:rsid w:val="00986D2F"/>
    <w:rsid w:val="00986FDF"/>
    <w:rsid w:val="00987089"/>
    <w:rsid w:val="00987095"/>
    <w:rsid w:val="009870BD"/>
    <w:rsid w:val="009875D0"/>
    <w:rsid w:val="0099012D"/>
    <w:rsid w:val="00990168"/>
    <w:rsid w:val="0099088F"/>
    <w:rsid w:val="0099109B"/>
    <w:rsid w:val="00991976"/>
    <w:rsid w:val="00992E52"/>
    <w:rsid w:val="009937BE"/>
    <w:rsid w:val="00993C17"/>
    <w:rsid w:val="009943D0"/>
    <w:rsid w:val="00994CB0"/>
    <w:rsid w:val="009958CC"/>
    <w:rsid w:val="009971BB"/>
    <w:rsid w:val="00997900"/>
    <w:rsid w:val="00997F6F"/>
    <w:rsid w:val="009A003B"/>
    <w:rsid w:val="009A01D8"/>
    <w:rsid w:val="009A0C20"/>
    <w:rsid w:val="009A0CE4"/>
    <w:rsid w:val="009A20D9"/>
    <w:rsid w:val="009A263F"/>
    <w:rsid w:val="009A286A"/>
    <w:rsid w:val="009A2926"/>
    <w:rsid w:val="009A3057"/>
    <w:rsid w:val="009A3490"/>
    <w:rsid w:val="009A3555"/>
    <w:rsid w:val="009A3659"/>
    <w:rsid w:val="009A4CDF"/>
    <w:rsid w:val="009A5561"/>
    <w:rsid w:val="009A5968"/>
    <w:rsid w:val="009A5AC7"/>
    <w:rsid w:val="009A748D"/>
    <w:rsid w:val="009A7888"/>
    <w:rsid w:val="009A7DE9"/>
    <w:rsid w:val="009B000F"/>
    <w:rsid w:val="009B0566"/>
    <w:rsid w:val="009B1B5B"/>
    <w:rsid w:val="009B25A9"/>
    <w:rsid w:val="009B2615"/>
    <w:rsid w:val="009B340E"/>
    <w:rsid w:val="009B3893"/>
    <w:rsid w:val="009B3920"/>
    <w:rsid w:val="009B42A3"/>
    <w:rsid w:val="009B4367"/>
    <w:rsid w:val="009B4B54"/>
    <w:rsid w:val="009B5070"/>
    <w:rsid w:val="009B52AD"/>
    <w:rsid w:val="009B5C31"/>
    <w:rsid w:val="009B62E5"/>
    <w:rsid w:val="009B664D"/>
    <w:rsid w:val="009B6A0D"/>
    <w:rsid w:val="009B783C"/>
    <w:rsid w:val="009C075D"/>
    <w:rsid w:val="009C0F4C"/>
    <w:rsid w:val="009C14CC"/>
    <w:rsid w:val="009C14F2"/>
    <w:rsid w:val="009C18A4"/>
    <w:rsid w:val="009C18F0"/>
    <w:rsid w:val="009C4376"/>
    <w:rsid w:val="009C4572"/>
    <w:rsid w:val="009C7209"/>
    <w:rsid w:val="009C7D87"/>
    <w:rsid w:val="009D0568"/>
    <w:rsid w:val="009D09DA"/>
    <w:rsid w:val="009D1988"/>
    <w:rsid w:val="009D1CBA"/>
    <w:rsid w:val="009D1F41"/>
    <w:rsid w:val="009D200B"/>
    <w:rsid w:val="009D28BE"/>
    <w:rsid w:val="009D323F"/>
    <w:rsid w:val="009D3C0F"/>
    <w:rsid w:val="009D46A4"/>
    <w:rsid w:val="009D4FFA"/>
    <w:rsid w:val="009D504B"/>
    <w:rsid w:val="009D64E8"/>
    <w:rsid w:val="009D6D6A"/>
    <w:rsid w:val="009D77F6"/>
    <w:rsid w:val="009D79B8"/>
    <w:rsid w:val="009D7BDE"/>
    <w:rsid w:val="009D7F70"/>
    <w:rsid w:val="009E00FC"/>
    <w:rsid w:val="009E0D82"/>
    <w:rsid w:val="009E0F41"/>
    <w:rsid w:val="009E193F"/>
    <w:rsid w:val="009E250C"/>
    <w:rsid w:val="009E2F63"/>
    <w:rsid w:val="009E349E"/>
    <w:rsid w:val="009E353C"/>
    <w:rsid w:val="009E37C4"/>
    <w:rsid w:val="009E3F2D"/>
    <w:rsid w:val="009E4215"/>
    <w:rsid w:val="009E45A1"/>
    <w:rsid w:val="009E5596"/>
    <w:rsid w:val="009E5B0A"/>
    <w:rsid w:val="009E6216"/>
    <w:rsid w:val="009E69B8"/>
    <w:rsid w:val="009E718E"/>
    <w:rsid w:val="009F0755"/>
    <w:rsid w:val="009F0FEB"/>
    <w:rsid w:val="009F1466"/>
    <w:rsid w:val="009F1753"/>
    <w:rsid w:val="009F1BDE"/>
    <w:rsid w:val="009F3C4A"/>
    <w:rsid w:val="009F3D4B"/>
    <w:rsid w:val="009F4DE7"/>
    <w:rsid w:val="009F5242"/>
    <w:rsid w:val="009F5262"/>
    <w:rsid w:val="009F62C6"/>
    <w:rsid w:val="009F65C3"/>
    <w:rsid w:val="009F68B9"/>
    <w:rsid w:val="00A00091"/>
    <w:rsid w:val="00A005CC"/>
    <w:rsid w:val="00A01645"/>
    <w:rsid w:val="00A020C0"/>
    <w:rsid w:val="00A039D1"/>
    <w:rsid w:val="00A10EB3"/>
    <w:rsid w:val="00A11ADB"/>
    <w:rsid w:val="00A12113"/>
    <w:rsid w:val="00A12322"/>
    <w:rsid w:val="00A135D6"/>
    <w:rsid w:val="00A1399F"/>
    <w:rsid w:val="00A14375"/>
    <w:rsid w:val="00A1487C"/>
    <w:rsid w:val="00A158FC"/>
    <w:rsid w:val="00A15A98"/>
    <w:rsid w:val="00A15AC6"/>
    <w:rsid w:val="00A16CB6"/>
    <w:rsid w:val="00A20CCE"/>
    <w:rsid w:val="00A20E48"/>
    <w:rsid w:val="00A212A9"/>
    <w:rsid w:val="00A21B5E"/>
    <w:rsid w:val="00A228F9"/>
    <w:rsid w:val="00A23CAB"/>
    <w:rsid w:val="00A24532"/>
    <w:rsid w:val="00A26621"/>
    <w:rsid w:val="00A2702C"/>
    <w:rsid w:val="00A27CFC"/>
    <w:rsid w:val="00A3155E"/>
    <w:rsid w:val="00A320D1"/>
    <w:rsid w:val="00A3302E"/>
    <w:rsid w:val="00A332E3"/>
    <w:rsid w:val="00A342D0"/>
    <w:rsid w:val="00A348CB"/>
    <w:rsid w:val="00A34C62"/>
    <w:rsid w:val="00A3576D"/>
    <w:rsid w:val="00A35A29"/>
    <w:rsid w:val="00A35EFA"/>
    <w:rsid w:val="00A36076"/>
    <w:rsid w:val="00A366A8"/>
    <w:rsid w:val="00A36BFB"/>
    <w:rsid w:val="00A37307"/>
    <w:rsid w:val="00A37799"/>
    <w:rsid w:val="00A37911"/>
    <w:rsid w:val="00A379D8"/>
    <w:rsid w:val="00A410B5"/>
    <w:rsid w:val="00A41A1B"/>
    <w:rsid w:val="00A41DB4"/>
    <w:rsid w:val="00A42CC8"/>
    <w:rsid w:val="00A44068"/>
    <w:rsid w:val="00A460D5"/>
    <w:rsid w:val="00A46146"/>
    <w:rsid w:val="00A464C6"/>
    <w:rsid w:val="00A465C6"/>
    <w:rsid w:val="00A4784D"/>
    <w:rsid w:val="00A47F09"/>
    <w:rsid w:val="00A5026B"/>
    <w:rsid w:val="00A51F43"/>
    <w:rsid w:val="00A521D8"/>
    <w:rsid w:val="00A5251B"/>
    <w:rsid w:val="00A53348"/>
    <w:rsid w:val="00A53C14"/>
    <w:rsid w:val="00A54D4A"/>
    <w:rsid w:val="00A559C4"/>
    <w:rsid w:val="00A55AA8"/>
    <w:rsid w:val="00A56256"/>
    <w:rsid w:val="00A565A3"/>
    <w:rsid w:val="00A56BC9"/>
    <w:rsid w:val="00A57145"/>
    <w:rsid w:val="00A57152"/>
    <w:rsid w:val="00A57698"/>
    <w:rsid w:val="00A57938"/>
    <w:rsid w:val="00A579B3"/>
    <w:rsid w:val="00A57FB3"/>
    <w:rsid w:val="00A60121"/>
    <w:rsid w:val="00A60241"/>
    <w:rsid w:val="00A60ABF"/>
    <w:rsid w:val="00A61186"/>
    <w:rsid w:val="00A61427"/>
    <w:rsid w:val="00A6159F"/>
    <w:rsid w:val="00A619B3"/>
    <w:rsid w:val="00A620C1"/>
    <w:rsid w:val="00A63DAB"/>
    <w:rsid w:val="00A64554"/>
    <w:rsid w:val="00A6537A"/>
    <w:rsid w:val="00A65D65"/>
    <w:rsid w:val="00A65DEB"/>
    <w:rsid w:val="00A65EFB"/>
    <w:rsid w:val="00A66A63"/>
    <w:rsid w:val="00A66B2D"/>
    <w:rsid w:val="00A66D93"/>
    <w:rsid w:val="00A66F7D"/>
    <w:rsid w:val="00A67589"/>
    <w:rsid w:val="00A679C1"/>
    <w:rsid w:val="00A67EFA"/>
    <w:rsid w:val="00A708FD"/>
    <w:rsid w:val="00A716E0"/>
    <w:rsid w:val="00A7207F"/>
    <w:rsid w:val="00A7234E"/>
    <w:rsid w:val="00A726EA"/>
    <w:rsid w:val="00A727A0"/>
    <w:rsid w:val="00A731CC"/>
    <w:rsid w:val="00A7346D"/>
    <w:rsid w:val="00A73EC5"/>
    <w:rsid w:val="00A741F7"/>
    <w:rsid w:val="00A75859"/>
    <w:rsid w:val="00A76CF6"/>
    <w:rsid w:val="00A76FE3"/>
    <w:rsid w:val="00A80303"/>
    <w:rsid w:val="00A80CD8"/>
    <w:rsid w:val="00A81500"/>
    <w:rsid w:val="00A82F8D"/>
    <w:rsid w:val="00A83B4E"/>
    <w:rsid w:val="00A841D6"/>
    <w:rsid w:val="00A855E0"/>
    <w:rsid w:val="00A8572F"/>
    <w:rsid w:val="00A85CAC"/>
    <w:rsid w:val="00A864DB"/>
    <w:rsid w:val="00A875CD"/>
    <w:rsid w:val="00A87989"/>
    <w:rsid w:val="00A879BA"/>
    <w:rsid w:val="00A9048E"/>
    <w:rsid w:val="00A90791"/>
    <w:rsid w:val="00A91DDF"/>
    <w:rsid w:val="00A91FB0"/>
    <w:rsid w:val="00A92689"/>
    <w:rsid w:val="00A92A33"/>
    <w:rsid w:val="00A92A67"/>
    <w:rsid w:val="00A92EF7"/>
    <w:rsid w:val="00A937DE"/>
    <w:rsid w:val="00A93CD2"/>
    <w:rsid w:val="00A94943"/>
    <w:rsid w:val="00A94C6B"/>
    <w:rsid w:val="00A9508E"/>
    <w:rsid w:val="00A954B3"/>
    <w:rsid w:val="00A95C3C"/>
    <w:rsid w:val="00A96285"/>
    <w:rsid w:val="00A97A81"/>
    <w:rsid w:val="00A97DAB"/>
    <w:rsid w:val="00AA0043"/>
    <w:rsid w:val="00AA0390"/>
    <w:rsid w:val="00AA078D"/>
    <w:rsid w:val="00AA0811"/>
    <w:rsid w:val="00AA14A9"/>
    <w:rsid w:val="00AA15CC"/>
    <w:rsid w:val="00AA232B"/>
    <w:rsid w:val="00AA25C3"/>
    <w:rsid w:val="00AA347F"/>
    <w:rsid w:val="00AA351F"/>
    <w:rsid w:val="00AA42EB"/>
    <w:rsid w:val="00AA45E5"/>
    <w:rsid w:val="00AA4822"/>
    <w:rsid w:val="00AA50DB"/>
    <w:rsid w:val="00AA55AA"/>
    <w:rsid w:val="00AA5AA4"/>
    <w:rsid w:val="00AA6316"/>
    <w:rsid w:val="00AA72E1"/>
    <w:rsid w:val="00AA7AE1"/>
    <w:rsid w:val="00AA7B13"/>
    <w:rsid w:val="00AB023E"/>
    <w:rsid w:val="00AB056C"/>
    <w:rsid w:val="00AB12C2"/>
    <w:rsid w:val="00AB1A0A"/>
    <w:rsid w:val="00AB20D2"/>
    <w:rsid w:val="00AB3591"/>
    <w:rsid w:val="00AB3639"/>
    <w:rsid w:val="00AB42BA"/>
    <w:rsid w:val="00AB47C1"/>
    <w:rsid w:val="00AB4CCF"/>
    <w:rsid w:val="00AB5218"/>
    <w:rsid w:val="00AB59C2"/>
    <w:rsid w:val="00AB5BB9"/>
    <w:rsid w:val="00AB5C0B"/>
    <w:rsid w:val="00AC0C95"/>
    <w:rsid w:val="00AC2B8D"/>
    <w:rsid w:val="00AC2D69"/>
    <w:rsid w:val="00AC4240"/>
    <w:rsid w:val="00AC4483"/>
    <w:rsid w:val="00AC5219"/>
    <w:rsid w:val="00AC5229"/>
    <w:rsid w:val="00AC7A6D"/>
    <w:rsid w:val="00AC7DA1"/>
    <w:rsid w:val="00AD02F0"/>
    <w:rsid w:val="00AD0497"/>
    <w:rsid w:val="00AD1AAC"/>
    <w:rsid w:val="00AD1E96"/>
    <w:rsid w:val="00AD2095"/>
    <w:rsid w:val="00AD24A7"/>
    <w:rsid w:val="00AD26F4"/>
    <w:rsid w:val="00AD4724"/>
    <w:rsid w:val="00AD5348"/>
    <w:rsid w:val="00AD68FD"/>
    <w:rsid w:val="00AD6ADB"/>
    <w:rsid w:val="00AD7D4C"/>
    <w:rsid w:val="00AE0286"/>
    <w:rsid w:val="00AE1559"/>
    <w:rsid w:val="00AE193C"/>
    <w:rsid w:val="00AE1D44"/>
    <w:rsid w:val="00AE1E8F"/>
    <w:rsid w:val="00AE1F26"/>
    <w:rsid w:val="00AE2318"/>
    <w:rsid w:val="00AE3728"/>
    <w:rsid w:val="00AE380A"/>
    <w:rsid w:val="00AE3B88"/>
    <w:rsid w:val="00AE3D88"/>
    <w:rsid w:val="00AE57C9"/>
    <w:rsid w:val="00AE64AA"/>
    <w:rsid w:val="00AE64EE"/>
    <w:rsid w:val="00AE6A26"/>
    <w:rsid w:val="00AE7723"/>
    <w:rsid w:val="00AF01AF"/>
    <w:rsid w:val="00AF04CC"/>
    <w:rsid w:val="00AF10A9"/>
    <w:rsid w:val="00AF1BB3"/>
    <w:rsid w:val="00AF1EE4"/>
    <w:rsid w:val="00AF21A2"/>
    <w:rsid w:val="00AF24C3"/>
    <w:rsid w:val="00AF27BD"/>
    <w:rsid w:val="00AF3125"/>
    <w:rsid w:val="00AF322D"/>
    <w:rsid w:val="00AF3C71"/>
    <w:rsid w:val="00AF4197"/>
    <w:rsid w:val="00AF42E3"/>
    <w:rsid w:val="00AF539E"/>
    <w:rsid w:val="00AF56BE"/>
    <w:rsid w:val="00AF59A6"/>
    <w:rsid w:val="00AF69E2"/>
    <w:rsid w:val="00AF6B31"/>
    <w:rsid w:val="00AF76DF"/>
    <w:rsid w:val="00AF76E5"/>
    <w:rsid w:val="00AF7D9A"/>
    <w:rsid w:val="00AF7F5D"/>
    <w:rsid w:val="00B001AF"/>
    <w:rsid w:val="00B008F1"/>
    <w:rsid w:val="00B00DC2"/>
    <w:rsid w:val="00B01599"/>
    <w:rsid w:val="00B0229B"/>
    <w:rsid w:val="00B024A2"/>
    <w:rsid w:val="00B02A05"/>
    <w:rsid w:val="00B04388"/>
    <w:rsid w:val="00B043CA"/>
    <w:rsid w:val="00B05FB8"/>
    <w:rsid w:val="00B07025"/>
    <w:rsid w:val="00B1038E"/>
    <w:rsid w:val="00B10C14"/>
    <w:rsid w:val="00B11420"/>
    <w:rsid w:val="00B1149F"/>
    <w:rsid w:val="00B11AFE"/>
    <w:rsid w:val="00B11B94"/>
    <w:rsid w:val="00B12D07"/>
    <w:rsid w:val="00B13405"/>
    <w:rsid w:val="00B13B50"/>
    <w:rsid w:val="00B13F30"/>
    <w:rsid w:val="00B147F7"/>
    <w:rsid w:val="00B14946"/>
    <w:rsid w:val="00B14D6E"/>
    <w:rsid w:val="00B14FE8"/>
    <w:rsid w:val="00B154A5"/>
    <w:rsid w:val="00B15521"/>
    <w:rsid w:val="00B1558C"/>
    <w:rsid w:val="00B15EF1"/>
    <w:rsid w:val="00B160DD"/>
    <w:rsid w:val="00B1635B"/>
    <w:rsid w:val="00B163F3"/>
    <w:rsid w:val="00B16E64"/>
    <w:rsid w:val="00B202F6"/>
    <w:rsid w:val="00B2070A"/>
    <w:rsid w:val="00B210F5"/>
    <w:rsid w:val="00B21282"/>
    <w:rsid w:val="00B21A83"/>
    <w:rsid w:val="00B21DCC"/>
    <w:rsid w:val="00B220B2"/>
    <w:rsid w:val="00B22400"/>
    <w:rsid w:val="00B22699"/>
    <w:rsid w:val="00B22FC5"/>
    <w:rsid w:val="00B239B9"/>
    <w:rsid w:val="00B243A0"/>
    <w:rsid w:val="00B24760"/>
    <w:rsid w:val="00B24B1B"/>
    <w:rsid w:val="00B25CE4"/>
    <w:rsid w:val="00B26257"/>
    <w:rsid w:val="00B265EE"/>
    <w:rsid w:val="00B265F9"/>
    <w:rsid w:val="00B26924"/>
    <w:rsid w:val="00B26AD6"/>
    <w:rsid w:val="00B26C26"/>
    <w:rsid w:val="00B2708F"/>
    <w:rsid w:val="00B27583"/>
    <w:rsid w:val="00B27937"/>
    <w:rsid w:val="00B279B7"/>
    <w:rsid w:val="00B27D06"/>
    <w:rsid w:val="00B304E9"/>
    <w:rsid w:val="00B31361"/>
    <w:rsid w:val="00B31545"/>
    <w:rsid w:val="00B31B0A"/>
    <w:rsid w:val="00B3202B"/>
    <w:rsid w:val="00B327DE"/>
    <w:rsid w:val="00B32BB0"/>
    <w:rsid w:val="00B33247"/>
    <w:rsid w:val="00B33FCC"/>
    <w:rsid w:val="00B34BAF"/>
    <w:rsid w:val="00B3572C"/>
    <w:rsid w:val="00B35741"/>
    <w:rsid w:val="00B35BED"/>
    <w:rsid w:val="00B35D79"/>
    <w:rsid w:val="00B35FBD"/>
    <w:rsid w:val="00B36238"/>
    <w:rsid w:val="00B3655A"/>
    <w:rsid w:val="00B36732"/>
    <w:rsid w:val="00B3674D"/>
    <w:rsid w:val="00B367F6"/>
    <w:rsid w:val="00B369BE"/>
    <w:rsid w:val="00B3724B"/>
    <w:rsid w:val="00B401AB"/>
    <w:rsid w:val="00B40925"/>
    <w:rsid w:val="00B42367"/>
    <w:rsid w:val="00B43120"/>
    <w:rsid w:val="00B43AE9"/>
    <w:rsid w:val="00B43C9A"/>
    <w:rsid w:val="00B43E24"/>
    <w:rsid w:val="00B44367"/>
    <w:rsid w:val="00B464BB"/>
    <w:rsid w:val="00B46636"/>
    <w:rsid w:val="00B466E9"/>
    <w:rsid w:val="00B4743C"/>
    <w:rsid w:val="00B47A75"/>
    <w:rsid w:val="00B5050E"/>
    <w:rsid w:val="00B50ABF"/>
    <w:rsid w:val="00B50C1A"/>
    <w:rsid w:val="00B51095"/>
    <w:rsid w:val="00B512E0"/>
    <w:rsid w:val="00B51960"/>
    <w:rsid w:val="00B52218"/>
    <w:rsid w:val="00B52380"/>
    <w:rsid w:val="00B54690"/>
    <w:rsid w:val="00B548DC"/>
    <w:rsid w:val="00B55098"/>
    <w:rsid w:val="00B553C9"/>
    <w:rsid w:val="00B55BFA"/>
    <w:rsid w:val="00B56274"/>
    <w:rsid w:val="00B56DEE"/>
    <w:rsid w:val="00B570EB"/>
    <w:rsid w:val="00B57430"/>
    <w:rsid w:val="00B577BC"/>
    <w:rsid w:val="00B603B5"/>
    <w:rsid w:val="00B60FF6"/>
    <w:rsid w:val="00B6183C"/>
    <w:rsid w:val="00B61A0B"/>
    <w:rsid w:val="00B62417"/>
    <w:rsid w:val="00B629DA"/>
    <w:rsid w:val="00B62A00"/>
    <w:rsid w:val="00B654C4"/>
    <w:rsid w:val="00B6581C"/>
    <w:rsid w:val="00B659E2"/>
    <w:rsid w:val="00B65F75"/>
    <w:rsid w:val="00B66AF5"/>
    <w:rsid w:val="00B66C9E"/>
    <w:rsid w:val="00B70B85"/>
    <w:rsid w:val="00B70FA0"/>
    <w:rsid w:val="00B729D7"/>
    <w:rsid w:val="00B72CA7"/>
    <w:rsid w:val="00B737A8"/>
    <w:rsid w:val="00B73B1F"/>
    <w:rsid w:val="00B73DC4"/>
    <w:rsid w:val="00B73FAF"/>
    <w:rsid w:val="00B75294"/>
    <w:rsid w:val="00B76793"/>
    <w:rsid w:val="00B76ED8"/>
    <w:rsid w:val="00B81B38"/>
    <w:rsid w:val="00B837C8"/>
    <w:rsid w:val="00B8407F"/>
    <w:rsid w:val="00B84401"/>
    <w:rsid w:val="00B847ED"/>
    <w:rsid w:val="00B85514"/>
    <w:rsid w:val="00B8592A"/>
    <w:rsid w:val="00B85CBC"/>
    <w:rsid w:val="00B862D8"/>
    <w:rsid w:val="00B873D5"/>
    <w:rsid w:val="00B87AED"/>
    <w:rsid w:val="00B9038C"/>
    <w:rsid w:val="00B915E1"/>
    <w:rsid w:val="00B933AD"/>
    <w:rsid w:val="00B93C3A"/>
    <w:rsid w:val="00B941C4"/>
    <w:rsid w:val="00B961E3"/>
    <w:rsid w:val="00B97636"/>
    <w:rsid w:val="00B979A2"/>
    <w:rsid w:val="00B97E6B"/>
    <w:rsid w:val="00BA0DA9"/>
    <w:rsid w:val="00BA103E"/>
    <w:rsid w:val="00BA1C9F"/>
    <w:rsid w:val="00BA21BB"/>
    <w:rsid w:val="00BA225D"/>
    <w:rsid w:val="00BA2794"/>
    <w:rsid w:val="00BA27B4"/>
    <w:rsid w:val="00BA2B58"/>
    <w:rsid w:val="00BA2E7A"/>
    <w:rsid w:val="00BA37D9"/>
    <w:rsid w:val="00BA3EB7"/>
    <w:rsid w:val="00BA45AE"/>
    <w:rsid w:val="00BA4625"/>
    <w:rsid w:val="00BA6003"/>
    <w:rsid w:val="00BA600D"/>
    <w:rsid w:val="00BA66FE"/>
    <w:rsid w:val="00BA765F"/>
    <w:rsid w:val="00BB066E"/>
    <w:rsid w:val="00BB0E8C"/>
    <w:rsid w:val="00BB28E9"/>
    <w:rsid w:val="00BB2D13"/>
    <w:rsid w:val="00BB2FB9"/>
    <w:rsid w:val="00BB44D5"/>
    <w:rsid w:val="00BB453F"/>
    <w:rsid w:val="00BB48F5"/>
    <w:rsid w:val="00BB5329"/>
    <w:rsid w:val="00BB54BA"/>
    <w:rsid w:val="00BB5C74"/>
    <w:rsid w:val="00BB648D"/>
    <w:rsid w:val="00BB687C"/>
    <w:rsid w:val="00BB693F"/>
    <w:rsid w:val="00BB7766"/>
    <w:rsid w:val="00BC01DE"/>
    <w:rsid w:val="00BC0E37"/>
    <w:rsid w:val="00BC112F"/>
    <w:rsid w:val="00BC1ED1"/>
    <w:rsid w:val="00BC1FF4"/>
    <w:rsid w:val="00BC216C"/>
    <w:rsid w:val="00BC2175"/>
    <w:rsid w:val="00BC21B4"/>
    <w:rsid w:val="00BC2407"/>
    <w:rsid w:val="00BC36DA"/>
    <w:rsid w:val="00BC370F"/>
    <w:rsid w:val="00BC44C4"/>
    <w:rsid w:val="00BC533E"/>
    <w:rsid w:val="00BC594D"/>
    <w:rsid w:val="00BC5C80"/>
    <w:rsid w:val="00BC61AF"/>
    <w:rsid w:val="00BC63AE"/>
    <w:rsid w:val="00BC665F"/>
    <w:rsid w:val="00BC666B"/>
    <w:rsid w:val="00BC7285"/>
    <w:rsid w:val="00BD00EB"/>
    <w:rsid w:val="00BD1BFF"/>
    <w:rsid w:val="00BD1FAF"/>
    <w:rsid w:val="00BD28E8"/>
    <w:rsid w:val="00BD3016"/>
    <w:rsid w:val="00BD31C9"/>
    <w:rsid w:val="00BD3891"/>
    <w:rsid w:val="00BD4088"/>
    <w:rsid w:val="00BD4BF3"/>
    <w:rsid w:val="00BD5B23"/>
    <w:rsid w:val="00BD6744"/>
    <w:rsid w:val="00BD6DD3"/>
    <w:rsid w:val="00BE01A3"/>
    <w:rsid w:val="00BE0220"/>
    <w:rsid w:val="00BE1485"/>
    <w:rsid w:val="00BE19E0"/>
    <w:rsid w:val="00BE1B77"/>
    <w:rsid w:val="00BE1C1A"/>
    <w:rsid w:val="00BE20DF"/>
    <w:rsid w:val="00BE2D73"/>
    <w:rsid w:val="00BE3029"/>
    <w:rsid w:val="00BE3107"/>
    <w:rsid w:val="00BE32BD"/>
    <w:rsid w:val="00BE41A0"/>
    <w:rsid w:val="00BE4FB3"/>
    <w:rsid w:val="00BE5082"/>
    <w:rsid w:val="00BE5118"/>
    <w:rsid w:val="00BE5E2A"/>
    <w:rsid w:val="00BE67D6"/>
    <w:rsid w:val="00BE6FA8"/>
    <w:rsid w:val="00BE7772"/>
    <w:rsid w:val="00BF072A"/>
    <w:rsid w:val="00BF146A"/>
    <w:rsid w:val="00BF1837"/>
    <w:rsid w:val="00BF264B"/>
    <w:rsid w:val="00BF2B1A"/>
    <w:rsid w:val="00BF30A1"/>
    <w:rsid w:val="00BF31B8"/>
    <w:rsid w:val="00BF3842"/>
    <w:rsid w:val="00BF3DFC"/>
    <w:rsid w:val="00BF482E"/>
    <w:rsid w:val="00BF6046"/>
    <w:rsid w:val="00BF6647"/>
    <w:rsid w:val="00BF7AEA"/>
    <w:rsid w:val="00BF7BF7"/>
    <w:rsid w:val="00BF7D86"/>
    <w:rsid w:val="00BF7F98"/>
    <w:rsid w:val="00C00B3B"/>
    <w:rsid w:val="00C0106E"/>
    <w:rsid w:val="00C015F1"/>
    <w:rsid w:val="00C0192F"/>
    <w:rsid w:val="00C02B52"/>
    <w:rsid w:val="00C035E2"/>
    <w:rsid w:val="00C03D41"/>
    <w:rsid w:val="00C04816"/>
    <w:rsid w:val="00C06D8A"/>
    <w:rsid w:val="00C10D4E"/>
    <w:rsid w:val="00C110C4"/>
    <w:rsid w:val="00C11D04"/>
    <w:rsid w:val="00C12062"/>
    <w:rsid w:val="00C127E9"/>
    <w:rsid w:val="00C1349C"/>
    <w:rsid w:val="00C136EB"/>
    <w:rsid w:val="00C1389D"/>
    <w:rsid w:val="00C13EBD"/>
    <w:rsid w:val="00C151A5"/>
    <w:rsid w:val="00C15231"/>
    <w:rsid w:val="00C15471"/>
    <w:rsid w:val="00C159D2"/>
    <w:rsid w:val="00C16FCC"/>
    <w:rsid w:val="00C1769B"/>
    <w:rsid w:val="00C1783A"/>
    <w:rsid w:val="00C20532"/>
    <w:rsid w:val="00C209C1"/>
    <w:rsid w:val="00C20A34"/>
    <w:rsid w:val="00C20D1C"/>
    <w:rsid w:val="00C2238D"/>
    <w:rsid w:val="00C22E3A"/>
    <w:rsid w:val="00C23A36"/>
    <w:rsid w:val="00C2589E"/>
    <w:rsid w:val="00C25CA7"/>
    <w:rsid w:val="00C25E79"/>
    <w:rsid w:val="00C25EBE"/>
    <w:rsid w:val="00C26C75"/>
    <w:rsid w:val="00C26E3E"/>
    <w:rsid w:val="00C2702E"/>
    <w:rsid w:val="00C272C7"/>
    <w:rsid w:val="00C2731C"/>
    <w:rsid w:val="00C30528"/>
    <w:rsid w:val="00C30A5C"/>
    <w:rsid w:val="00C31091"/>
    <w:rsid w:val="00C31B3A"/>
    <w:rsid w:val="00C32078"/>
    <w:rsid w:val="00C3210C"/>
    <w:rsid w:val="00C3288A"/>
    <w:rsid w:val="00C33021"/>
    <w:rsid w:val="00C33786"/>
    <w:rsid w:val="00C338DD"/>
    <w:rsid w:val="00C362CB"/>
    <w:rsid w:val="00C3637B"/>
    <w:rsid w:val="00C368A3"/>
    <w:rsid w:val="00C37176"/>
    <w:rsid w:val="00C40803"/>
    <w:rsid w:val="00C40AFF"/>
    <w:rsid w:val="00C41743"/>
    <w:rsid w:val="00C41BB7"/>
    <w:rsid w:val="00C42DBA"/>
    <w:rsid w:val="00C439EA"/>
    <w:rsid w:val="00C43A94"/>
    <w:rsid w:val="00C43C3A"/>
    <w:rsid w:val="00C43C43"/>
    <w:rsid w:val="00C43CFD"/>
    <w:rsid w:val="00C442F2"/>
    <w:rsid w:val="00C44753"/>
    <w:rsid w:val="00C447FC"/>
    <w:rsid w:val="00C45647"/>
    <w:rsid w:val="00C45832"/>
    <w:rsid w:val="00C46A2B"/>
    <w:rsid w:val="00C46A3E"/>
    <w:rsid w:val="00C50091"/>
    <w:rsid w:val="00C508E2"/>
    <w:rsid w:val="00C50D5B"/>
    <w:rsid w:val="00C5148A"/>
    <w:rsid w:val="00C51758"/>
    <w:rsid w:val="00C518AE"/>
    <w:rsid w:val="00C51950"/>
    <w:rsid w:val="00C51980"/>
    <w:rsid w:val="00C51B2A"/>
    <w:rsid w:val="00C5253C"/>
    <w:rsid w:val="00C535EB"/>
    <w:rsid w:val="00C53711"/>
    <w:rsid w:val="00C53A28"/>
    <w:rsid w:val="00C53C24"/>
    <w:rsid w:val="00C5428C"/>
    <w:rsid w:val="00C5490D"/>
    <w:rsid w:val="00C553DC"/>
    <w:rsid w:val="00C55A6A"/>
    <w:rsid w:val="00C55B47"/>
    <w:rsid w:val="00C55CB4"/>
    <w:rsid w:val="00C56549"/>
    <w:rsid w:val="00C568DB"/>
    <w:rsid w:val="00C56B61"/>
    <w:rsid w:val="00C56EA3"/>
    <w:rsid w:val="00C57DEB"/>
    <w:rsid w:val="00C606EF"/>
    <w:rsid w:val="00C60D92"/>
    <w:rsid w:val="00C615A9"/>
    <w:rsid w:val="00C622A7"/>
    <w:rsid w:val="00C62632"/>
    <w:rsid w:val="00C626CC"/>
    <w:rsid w:val="00C62C57"/>
    <w:rsid w:val="00C631BB"/>
    <w:rsid w:val="00C632BB"/>
    <w:rsid w:val="00C63B05"/>
    <w:rsid w:val="00C649BF"/>
    <w:rsid w:val="00C64EC2"/>
    <w:rsid w:val="00C66763"/>
    <w:rsid w:val="00C66CE2"/>
    <w:rsid w:val="00C66F45"/>
    <w:rsid w:val="00C6768E"/>
    <w:rsid w:val="00C6799D"/>
    <w:rsid w:val="00C71274"/>
    <w:rsid w:val="00C71579"/>
    <w:rsid w:val="00C71738"/>
    <w:rsid w:val="00C74810"/>
    <w:rsid w:val="00C75ADB"/>
    <w:rsid w:val="00C75F72"/>
    <w:rsid w:val="00C76DCA"/>
    <w:rsid w:val="00C770F4"/>
    <w:rsid w:val="00C775F2"/>
    <w:rsid w:val="00C77AF2"/>
    <w:rsid w:val="00C8046B"/>
    <w:rsid w:val="00C8069C"/>
    <w:rsid w:val="00C80C8B"/>
    <w:rsid w:val="00C83261"/>
    <w:rsid w:val="00C845F0"/>
    <w:rsid w:val="00C84E03"/>
    <w:rsid w:val="00C855EA"/>
    <w:rsid w:val="00C86096"/>
    <w:rsid w:val="00C86CDA"/>
    <w:rsid w:val="00C86DFE"/>
    <w:rsid w:val="00C876D4"/>
    <w:rsid w:val="00C902F9"/>
    <w:rsid w:val="00C90E9B"/>
    <w:rsid w:val="00C910D3"/>
    <w:rsid w:val="00C91491"/>
    <w:rsid w:val="00C91740"/>
    <w:rsid w:val="00C9211E"/>
    <w:rsid w:val="00C92BC3"/>
    <w:rsid w:val="00C936EB"/>
    <w:rsid w:val="00C93D5A"/>
    <w:rsid w:val="00C964DB"/>
    <w:rsid w:val="00C96B20"/>
    <w:rsid w:val="00C97F4E"/>
    <w:rsid w:val="00CA06BE"/>
    <w:rsid w:val="00CA09C4"/>
    <w:rsid w:val="00CA0CE8"/>
    <w:rsid w:val="00CA26C0"/>
    <w:rsid w:val="00CA585E"/>
    <w:rsid w:val="00CA5D86"/>
    <w:rsid w:val="00CA6B6E"/>
    <w:rsid w:val="00CA7489"/>
    <w:rsid w:val="00CA75CE"/>
    <w:rsid w:val="00CA7A63"/>
    <w:rsid w:val="00CB0217"/>
    <w:rsid w:val="00CB05F7"/>
    <w:rsid w:val="00CB0AD6"/>
    <w:rsid w:val="00CB11E3"/>
    <w:rsid w:val="00CB23A0"/>
    <w:rsid w:val="00CB2900"/>
    <w:rsid w:val="00CB3BF6"/>
    <w:rsid w:val="00CB42E2"/>
    <w:rsid w:val="00CB4BEA"/>
    <w:rsid w:val="00CB5475"/>
    <w:rsid w:val="00CB5D66"/>
    <w:rsid w:val="00CB618D"/>
    <w:rsid w:val="00CB7637"/>
    <w:rsid w:val="00CB769F"/>
    <w:rsid w:val="00CC0E7B"/>
    <w:rsid w:val="00CC160C"/>
    <w:rsid w:val="00CC1882"/>
    <w:rsid w:val="00CC1F37"/>
    <w:rsid w:val="00CC3395"/>
    <w:rsid w:val="00CC34C0"/>
    <w:rsid w:val="00CC34C9"/>
    <w:rsid w:val="00CC36A1"/>
    <w:rsid w:val="00CC36CC"/>
    <w:rsid w:val="00CC36D1"/>
    <w:rsid w:val="00CC3C8A"/>
    <w:rsid w:val="00CC42B8"/>
    <w:rsid w:val="00CC4EE4"/>
    <w:rsid w:val="00CC5CB7"/>
    <w:rsid w:val="00CC5D4E"/>
    <w:rsid w:val="00CC69DD"/>
    <w:rsid w:val="00CC7A59"/>
    <w:rsid w:val="00CD0D4B"/>
    <w:rsid w:val="00CD0EDB"/>
    <w:rsid w:val="00CD14F2"/>
    <w:rsid w:val="00CD1703"/>
    <w:rsid w:val="00CD17F5"/>
    <w:rsid w:val="00CD182C"/>
    <w:rsid w:val="00CD1E1B"/>
    <w:rsid w:val="00CD359A"/>
    <w:rsid w:val="00CD375D"/>
    <w:rsid w:val="00CD436D"/>
    <w:rsid w:val="00CD48B6"/>
    <w:rsid w:val="00CD4A4E"/>
    <w:rsid w:val="00CD4D2C"/>
    <w:rsid w:val="00CD4E32"/>
    <w:rsid w:val="00CD6CAC"/>
    <w:rsid w:val="00CD72FA"/>
    <w:rsid w:val="00CE1739"/>
    <w:rsid w:val="00CE1D89"/>
    <w:rsid w:val="00CE2B4A"/>
    <w:rsid w:val="00CE2D38"/>
    <w:rsid w:val="00CE311F"/>
    <w:rsid w:val="00CE4019"/>
    <w:rsid w:val="00CE409E"/>
    <w:rsid w:val="00CE46CF"/>
    <w:rsid w:val="00CE54A7"/>
    <w:rsid w:val="00CE590F"/>
    <w:rsid w:val="00CE5F9D"/>
    <w:rsid w:val="00CE6C1A"/>
    <w:rsid w:val="00CE6C4D"/>
    <w:rsid w:val="00CE6D1E"/>
    <w:rsid w:val="00CE7035"/>
    <w:rsid w:val="00CE772F"/>
    <w:rsid w:val="00CF05C0"/>
    <w:rsid w:val="00CF1301"/>
    <w:rsid w:val="00CF1B9C"/>
    <w:rsid w:val="00CF2524"/>
    <w:rsid w:val="00CF3E42"/>
    <w:rsid w:val="00CF54E9"/>
    <w:rsid w:val="00CF6087"/>
    <w:rsid w:val="00CF66D7"/>
    <w:rsid w:val="00CF7699"/>
    <w:rsid w:val="00D00190"/>
    <w:rsid w:val="00D00228"/>
    <w:rsid w:val="00D01836"/>
    <w:rsid w:val="00D01FEA"/>
    <w:rsid w:val="00D0200E"/>
    <w:rsid w:val="00D02366"/>
    <w:rsid w:val="00D028DB"/>
    <w:rsid w:val="00D0359F"/>
    <w:rsid w:val="00D039E0"/>
    <w:rsid w:val="00D042F4"/>
    <w:rsid w:val="00D04E6F"/>
    <w:rsid w:val="00D05DFD"/>
    <w:rsid w:val="00D066F4"/>
    <w:rsid w:val="00D0677C"/>
    <w:rsid w:val="00D073A3"/>
    <w:rsid w:val="00D108F6"/>
    <w:rsid w:val="00D109B0"/>
    <w:rsid w:val="00D10F7C"/>
    <w:rsid w:val="00D11164"/>
    <w:rsid w:val="00D112F1"/>
    <w:rsid w:val="00D11BC7"/>
    <w:rsid w:val="00D1223A"/>
    <w:rsid w:val="00D127D2"/>
    <w:rsid w:val="00D128B7"/>
    <w:rsid w:val="00D12B66"/>
    <w:rsid w:val="00D12D66"/>
    <w:rsid w:val="00D13AF1"/>
    <w:rsid w:val="00D13F00"/>
    <w:rsid w:val="00D14E6B"/>
    <w:rsid w:val="00D15B93"/>
    <w:rsid w:val="00D1616D"/>
    <w:rsid w:val="00D16610"/>
    <w:rsid w:val="00D171D8"/>
    <w:rsid w:val="00D17FC9"/>
    <w:rsid w:val="00D208DB"/>
    <w:rsid w:val="00D20C14"/>
    <w:rsid w:val="00D21E1B"/>
    <w:rsid w:val="00D227D8"/>
    <w:rsid w:val="00D22E7C"/>
    <w:rsid w:val="00D238DB"/>
    <w:rsid w:val="00D240C7"/>
    <w:rsid w:val="00D24814"/>
    <w:rsid w:val="00D24C55"/>
    <w:rsid w:val="00D24D06"/>
    <w:rsid w:val="00D24D48"/>
    <w:rsid w:val="00D25601"/>
    <w:rsid w:val="00D25ADE"/>
    <w:rsid w:val="00D26656"/>
    <w:rsid w:val="00D2665A"/>
    <w:rsid w:val="00D266A9"/>
    <w:rsid w:val="00D26E76"/>
    <w:rsid w:val="00D306C6"/>
    <w:rsid w:val="00D332E7"/>
    <w:rsid w:val="00D33505"/>
    <w:rsid w:val="00D33916"/>
    <w:rsid w:val="00D3435D"/>
    <w:rsid w:val="00D34B2B"/>
    <w:rsid w:val="00D34C4B"/>
    <w:rsid w:val="00D34D38"/>
    <w:rsid w:val="00D34D50"/>
    <w:rsid w:val="00D3534D"/>
    <w:rsid w:val="00D35602"/>
    <w:rsid w:val="00D36485"/>
    <w:rsid w:val="00D365DA"/>
    <w:rsid w:val="00D368BB"/>
    <w:rsid w:val="00D378D6"/>
    <w:rsid w:val="00D40463"/>
    <w:rsid w:val="00D41884"/>
    <w:rsid w:val="00D420A2"/>
    <w:rsid w:val="00D42994"/>
    <w:rsid w:val="00D42DE4"/>
    <w:rsid w:val="00D43E61"/>
    <w:rsid w:val="00D43F7C"/>
    <w:rsid w:val="00D44537"/>
    <w:rsid w:val="00D452C6"/>
    <w:rsid w:val="00D45DFD"/>
    <w:rsid w:val="00D463D7"/>
    <w:rsid w:val="00D46F86"/>
    <w:rsid w:val="00D47016"/>
    <w:rsid w:val="00D471A3"/>
    <w:rsid w:val="00D471B1"/>
    <w:rsid w:val="00D47844"/>
    <w:rsid w:val="00D47CED"/>
    <w:rsid w:val="00D5091B"/>
    <w:rsid w:val="00D50BC4"/>
    <w:rsid w:val="00D50D2E"/>
    <w:rsid w:val="00D515A2"/>
    <w:rsid w:val="00D5203C"/>
    <w:rsid w:val="00D52DA9"/>
    <w:rsid w:val="00D52E98"/>
    <w:rsid w:val="00D5503F"/>
    <w:rsid w:val="00D5522C"/>
    <w:rsid w:val="00D55940"/>
    <w:rsid w:val="00D562A7"/>
    <w:rsid w:val="00D56756"/>
    <w:rsid w:val="00D57792"/>
    <w:rsid w:val="00D601FE"/>
    <w:rsid w:val="00D60997"/>
    <w:rsid w:val="00D61BE8"/>
    <w:rsid w:val="00D620CE"/>
    <w:rsid w:val="00D62392"/>
    <w:rsid w:val="00D62AD3"/>
    <w:rsid w:val="00D62CEE"/>
    <w:rsid w:val="00D64602"/>
    <w:rsid w:val="00D646C0"/>
    <w:rsid w:val="00D6507E"/>
    <w:rsid w:val="00D65988"/>
    <w:rsid w:val="00D65E96"/>
    <w:rsid w:val="00D65EAC"/>
    <w:rsid w:val="00D6673C"/>
    <w:rsid w:val="00D66C0B"/>
    <w:rsid w:val="00D66C27"/>
    <w:rsid w:val="00D66EAA"/>
    <w:rsid w:val="00D6769C"/>
    <w:rsid w:val="00D67921"/>
    <w:rsid w:val="00D67B7B"/>
    <w:rsid w:val="00D705B0"/>
    <w:rsid w:val="00D70EA1"/>
    <w:rsid w:val="00D71FDF"/>
    <w:rsid w:val="00D72038"/>
    <w:rsid w:val="00D73037"/>
    <w:rsid w:val="00D734BE"/>
    <w:rsid w:val="00D737B3"/>
    <w:rsid w:val="00D7508E"/>
    <w:rsid w:val="00D75EC1"/>
    <w:rsid w:val="00D8009E"/>
    <w:rsid w:val="00D80266"/>
    <w:rsid w:val="00D8030B"/>
    <w:rsid w:val="00D81E39"/>
    <w:rsid w:val="00D82E1C"/>
    <w:rsid w:val="00D848C7"/>
    <w:rsid w:val="00D84B3B"/>
    <w:rsid w:val="00D857A2"/>
    <w:rsid w:val="00D85C55"/>
    <w:rsid w:val="00D8657C"/>
    <w:rsid w:val="00D86E73"/>
    <w:rsid w:val="00D87098"/>
    <w:rsid w:val="00D900E5"/>
    <w:rsid w:val="00D90960"/>
    <w:rsid w:val="00D91110"/>
    <w:rsid w:val="00D9167D"/>
    <w:rsid w:val="00D917F0"/>
    <w:rsid w:val="00D918C2"/>
    <w:rsid w:val="00D92985"/>
    <w:rsid w:val="00D931DF"/>
    <w:rsid w:val="00D94032"/>
    <w:rsid w:val="00D94C23"/>
    <w:rsid w:val="00D95DF8"/>
    <w:rsid w:val="00D97319"/>
    <w:rsid w:val="00D97CF3"/>
    <w:rsid w:val="00DA009B"/>
    <w:rsid w:val="00DA15CA"/>
    <w:rsid w:val="00DA1EAF"/>
    <w:rsid w:val="00DA30A5"/>
    <w:rsid w:val="00DA39C4"/>
    <w:rsid w:val="00DA42BE"/>
    <w:rsid w:val="00DA56A2"/>
    <w:rsid w:val="00DA56E7"/>
    <w:rsid w:val="00DA5CDC"/>
    <w:rsid w:val="00DA66C4"/>
    <w:rsid w:val="00DA72C5"/>
    <w:rsid w:val="00DA7F46"/>
    <w:rsid w:val="00DB1C7E"/>
    <w:rsid w:val="00DB1D31"/>
    <w:rsid w:val="00DB28F8"/>
    <w:rsid w:val="00DB3067"/>
    <w:rsid w:val="00DB36F0"/>
    <w:rsid w:val="00DB5A61"/>
    <w:rsid w:val="00DB6884"/>
    <w:rsid w:val="00DB6BCC"/>
    <w:rsid w:val="00DB70D4"/>
    <w:rsid w:val="00DB7398"/>
    <w:rsid w:val="00DB78F4"/>
    <w:rsid w:val="00DB7EE0"/>
    <w:rsid w:val="00DC0964"/>
    <w:rsid w:val="00DC15E1"/>
    <w:rsid w:val="00DC2C7D"/>
    <w:rsid w:val="00DC457B"/>
    <w:rsid w:val="00DC52F7"/>
    <w:rsid w:val="00DC55AA"/>
    <w:rsid w:val="00DC65C3"/>
    <w:rsid w:val="00DC6E6E"/>
    <w:rsid w:val="00DC73B0"/>
    <w:rsid w:val="00DC7544"/>
    <w:rsid w:val="00DC7604"/>
    <w:rsid w:val="00DC7B80"/>
    <w:rsid w:val="00DD0110"/>
    <w:rsid w:val="00DD0D92"/>
    <w:rsid w:val="00DD0F9B"/>
    <w:rsid w:val="00DD11D6"/>
    <w:rsid w:val="00DD15EB"/>
    <w:rsid w:val="00DD2E8C"/>
    <w:rsid w:val="00DD2F28"/>
    <w:rsid w:val="00DD3231"/>
    <w:rsid w:val="00DD38B3"/>
    <w:rsid w:val="00DD3DE0"/>
    <w:rsid w:val="00DD3E4A"/>
    <w:rsid w:val="00DD4259"/>
    <w:rsid w:val="00DD477A"/>
    <w:rsid w:val="00DD4ABC"/>
    <w:rsid w:val="00DD62E7"/>
    <w:rsid w:val="00DD690B"/>
    <w:rsid w:val="00DD6C75"/>
    <w:rsid w:val="00DD6E94"/>
    <w:rsid w:val="00DD70D0"/>
    <w:rsid w:val="00DD7822"/>
    <w:rsid w:val="00DE04C2"/>
    <w:rsid w:val="00DE0F35"/>
    <w:rsid w:val="00DE1BBD"/>
    <w:rsid w:val="00DE1E6E"/>
    <w:rsid w:val="00DE24FD"/>
    <w:rsid w:val="00DE2C63"/>
    <w:rsid w:val="00DE33C5"/>
    <w:rsid w:val="00DE34E9"/>
    <w:rsid w:val="00DE4758"/>
    <w:rsid w:val="00DE4976"/>
    <w:rsid w:val="00DE5B52"/>
    <w:rsid w:val="00DE64E1"/>
    <w:rsid w:val="00DE7004"/>
    <w:rsid w:val="00DE712C"/>
    <w:rsid w:val="00DE75C2"/>
    <w:rsid w:val="00DF16A3"/>
    <w:rsid w:val="00DF17DC"/>
    <w:rsid w:val="00DF1B63"/>
    <w:rsid w:val="00DF1C56"/>
    <w:rsid w:val="00DF1F34"/>
    <w:rsid w:val="00DF2004"/>
    <w:rsid w:val="00DF20C8"/>
    <w:rsid w:val="00DF255E"/>
    <w:rsid w:val="00DF26BB"/>
    <w:rsid w:val="00DF2DCF"/>
    <w:rsid w:val="00DF31BF"/>
    <w:rsid w:val="00DF31FF"/>
    <w:rsid w:val="00DF4E55"/>
    <w:rsid w:val="00DF6F25"/>
    <w:rsid w:val="00DF728E"/>
    <w:rsid w:val="00DF7BF6"/>
    <w:rsid w:val="00E005FF"/>
    <w:rsid w:val="00E01B3B"/>
    <w:rsid w:val="00E021B8"/>
    <w:rsid w:val="00E0250E"/>
    <w:rsid w:val="00E02978"/>
    <w:rsid w:val="00E02CFD"/>
    <w:rsid w:val="00E03DB4"/>
    <w:rsid w:val="00E046C2"/>
    <w:rsid w:val="00E04D1D"/>
    <w:rsid w:val="00E0606D"/>
    <w:rsid w:val="00E068B4"/>
    <w:rsid w:val="00E06C17"/>
    <w:rsid w:val="00E06FFB"/>
    <w:rsid w:val="00E100D9"/>
    <w:rsid w:val="00E101A7"/>
    <w:rsid w:val="00E109E5"/>
    <w:rsid w:val="00E11278"/>
    <w:rsid w:val="00E1281B"/>
    <w:rsid w:val="00E13193"/>
    <w:rsid w:val="00E13E39"/>
    <w:rsid w:val="00E13E8F"/>
    <w:rsid w:val="00E140DE"/>
    <w:rsid w:val="00E149B2"/>
    <w:rsid w:val="00E1649A"/>
    <w:rsid w:val="00E171E4"/>
    <w:rsid w:val="00E17E86"/>
    <w:rsid w:val="00E20ED0"/>
    <w:rsid w:val="00E21286"/>
    <w:rsid w:val="00E22484"/>
    <w:rsid w:val="00E228F8"/>
    <w:rsid w:val="00E2297E"/>
    <w:rsid w:val="00E22ADD"/>
    <w:rsid w:val="00E24B7B"/>
    <w:rsid w:val="00E25DB3"/>
    <w:rsid w:val="00E25E84"/>
    <w:rsid w:val="00E2759E"/>
    <w:rsid w:val="00E27A1A"/>
    <w:rsid w:val="00E3072A"/>
    <w:rsid w:val="00E30C27"/>
    <w:rsid w:val="00E30C4F"/>
    <w:rsid w:val="00E31C1E"/>
    <w:rsid w:val="00E31EB0"/>
    <w:rsid w:val="00E3369E"/>
    <w:rsid w:val="00E3397F"/>
    <w:rsid w:val="00E363B3"/>
    <w:rsid w:val="00E40668"/>
    <w:rsid w:val="00E40967"/>
    <w:rsid w:val="00E41B2A"/>
    <w:rsid w:val="00E4245E"/>
    <w:rsid w:val="00E437E2"/>
    <w:rsid w:val="00E43AD5"/>
    <w:rsid w:val="00E43F43"/>
    <w:rsid w:val="00E45F17"/>
    <w:rsid w:val="00E46688"/>
    <w:rsid w:val="00E46B13"/>
    <w:rsid w:val="00E46EFC"/>
    <w:rsid w:val="00E47F06"/>
    <w:rsid w:val="00E514E9"/>
    <w:rsid w:val="00E519A6"/>
    <w:rsid w:val="00E520DC"/>
    <w:rsid w:val="00E526C0"/>
    <w:rsid w:val="00E52808"/>
    <w:rsid w:val="00E52FC4"/>
    <w:rsid w:val="00E53A48"/>
    <w:rsid w:val="00E53AA5"/>
    <w:rsid w:val="00E53BD8"/>
    <w:rsid w:val="00E55514"/>
    <w:rsid w:val="00E563B2"/>
    <w:rsid w:val="00E570AA"/>
    <w:rsid w:val="00E570CC"/>
    <w:rsid w:val="00E57714"/>
    <w:rsid w:val="00E60354"/>
    <w:rsid w:val="00E60650"/>
    <w:rsid w:val="00E60CCA"/>
    <w:rsid w:val="00E616B0"/>
    <w:rsid w:val="00E61B16"/>
    <w:rsid w:val="00E627EE"/>
    <w:rsid w:val="00E62D7A"/>
    <w:rsid w:val="00E638F2"/>
    <w:rsid w:val="00E64047"/>
    <w:rsid w:val="00E651B7"/>
    <w:rsid w:val="00E6573D"/>
    <w:rsid w:val="00E65DD5"/>
    <w:rsid w:val="00E67A3F"/>
    <w:rsid w:val="00E67BA8"/>
    <w:rsid w:val="00E67D49"/>
    <w:rsid w:val="00E7030F"/>
    <w:rsid w:val="00E70DEF"/>
    <w:rsid w:val="00E7145E"/>
    <w:rsid w:val="00E71F86"/>
    <w:rsid w:val="00E7240D"/>
    <w:rsid w:val="00E725D2"/>
    <w:rsid w:val="00E74A7B"/>
    <w:rsid w:val="00E74B4C"/>
    <w:rsid w:val="00E74B9B"/>
    <w:rsid w:val="00E754FD"/>
    <w:rsid w:val="00E759BC"/>
    <w:rsid w:val="00E75D27"/>
    <w:rsid w:val="00E7674E"/>
    <w:rsid w:val="00E76C86"/>
    <w:rsid w:val="00E80719"/>
    <w:rsid w:val="00E810C9"/>
    <w:rsid w:val="00E81795"/>
    <w:rsid w:val="00E821E5"/>
    <w:rsid w:val="00E83278"/>
    <w:rsid w:val="00E833DA"/>
    <w:rsid w:val="00E83B7B"/>
    <w:rsid w:val="00E8455A"/>
    <w:rsid w:val="00E86B32"/>
    <w:rsid w:val="00E86DAE"/>
    <w:rsid w:val="00E87D4C"/>
    <w:rsid w:val="00E906BC"/>
    <w:rsid w:val="00E910BA"/>
    <w:rsid w:val="00E9158E"/>
    <w:rsid w:val="00E91AAC"/>
    <w:rsid w:val="00E91CDE"/>
    <w:rsid w:val="00E92056"/>
    <w:rsid w:val="00E93643"/>
    <w:rsid w:val="00E93E48"/>
    <w:rsid w:val="00E942A4"/>
    <w:rsid w:val="00E94E9D"/>
    <w:rsid w:val="00E95331"/>
    <w:rsid w:val="00E95356"/>
    <w:rsid w:val="00E953F9"/>
    <w:rsid w:val="00E95BDD"/>
    <w:rsid w:val="00E95C62"/>
    <w:rsid w:val="00E97088"/>
    <w:rsid w:val="00E97320"/>
    <w:rsid w:val="00E97D7D"/>
    <w:rsid w:val="00EA06E8"/>
    <w:rsid w:val="00EA214B"/>
    <w:rsid w:val="00EA2471"/>
    <w:rsid w:val="00EA3B59"/>
    <w:rsid w:val="00EA4345"/>
    <w:rsid w:val="00EA48F1"/>
    <w:rsid w:val="00EA4FE6"/>
    <w:rsid w:val="00EA5501"/>
    <w:rsid w:val="00EA5B4A"/>
    <w:rsid w:val="00EA7F98"/>
    <w:rsid w:val="00EB193F"/>
    <w:rsid w:val="00EB1A0E"/>
    <w:rsid w:val="00EB1AF5"/>
    <w:rsid w:val="00EB2031"/>
    <w:rsid w:val="00EB28D5"/>
    <w:rsid w:val="00EB2C0D"/>
    <w:rsid w:val="00EB349B"/>
    <w:rsid w:val="00EB3A10"/>
    <w:rsid w:val="00EB5E0E"/>
    <w:rsid w:val="00EB7505"/>
    <w:rsid w:val="00EB7ADF"/>
    <w:rsid w:val="00EC071E"/>
    <w:rsid w:val="00EC0866"/>
    <w:rsid w:val="00EC1455"/>
    <w:rsid w:val="00EC146D"/>
    <w:rsid w:val="00EC1784"/>
    <w:rsid w:val="00EC2DBB"/>
    <w:rsid w:val="00EC370E"/>
    <w:rsid w:val="00EC474D"/>
    <w:rsid w:val="00EC6169"/>
    <w:rsid w:val="00EC65A1"/>
    <w:rsid w:val="00EC6CD1"/>
    <w:rsid w:val="00EC6FC2"/>
    <w:rsid w:val="00EC7159"/>
    <w:rsid w:val="00EC7194"/>
    <w:rsid w:val="00EC7707"/>
    <w:rsid w:val="00ED02F8"/>
    <w:rsid w:val="00ED0A49"/>
    <w:rsid w:val="00ED0CF8"/>
    <w:rsid w:val="00ED1278"/>
    <w:rsid w:val="00ED168D"/>
    <w:rsid w:val="00ED1967"/>
    <w:rsid w:val="00ED1A96"/>
    <w:rsid w:val="00ED2164"/>
    <w:rsid w:val="00ED2778"/>
    <w:rsid w:val="00ED35E7"/>
    <w:rsid w:val="00ED4313"/>
    <w:rsid w:val="00ED4C33"/>
    <w:rsid w:val="00ED4F52"/>
    <w:rsid w:val="00ED5EE8"/>
    <w:rsid w:val="00ED76F0"/>
    <w:rsid w:val="00ED7AC4"/>
    <w:rsid w:val="00ED7BF9"/>
    <w:rsid w:val="00ED7F66"/>
    <w:rsid w:val="00ED7FD1"/>
    <w:rsid w:val="00EE025D"/>
    <w:rsid w:val="00EE142C"/>
    <w:rsid w:val="00EE1711"/>
    <w:rsid w:val="00EE2134"/>
    <w:rsid w:val="00EE215A"/>
    <w:rsid w:val="00EE3145"/>
    <w:rsid w:val="00EE33DD"/>
    <w:rsid w:val="00EE38A8"/>
    <w:rsid w:val="00EE4488"/>
    <w:rsid w:val="00EE4539"/>
    <w:rsid w:val="00EE5806"/>
    <w:rsid w:val="00EE5F65"/>
    <w:rsid w:val="00EE6691"/>
    <w:rsid w:val="00EE68D2"/>
    <w:rsid w:val="00EE6CBC"/>
    <w:rsid w:val="00EE6E24"/>
    <w:rsid w:val="00EF0E0C"/>
    <w:rsid w:val="00EF0F19"/>
    <w:rsid w:val="00EF0FD3"/>
    <w:rsid w:val="00EF1088"/>
    <w:rsid w:val="00EF1250"/>
    <w:rsid w:val="00EF1437"/>
    <w:rsid w:val="00EF16B0"/>
    <w:rsid w:val="00EF2086"/>
    <w:rsid w:val="00EF22FA"/>
    <w:rsid w:val="00EF2426"/>
    <w:rsid w:val="00EF4C79"/>
    <w:rsid w:val="00EF5251"/>
    <w:rsid w:val="00EF5A28"/>
    <w:rsid w:val="00EF5A64"/>
    <w:rsid w:val="00EF5C1B"/>
    <w:rsid w:val="00F002AF"/>
    <w:rsid w:val="00F0048D"/>
    <w:rsid w:val="00F006E2"/>
    <w:rsid w:val="00F01CFC"/>
    <w:rsid w:val="00F020D1"/>
    <w:rsid w:val="00F021CB"/>
    <w:rsid w:val="00F02F6A"/>
    <w:rsid w:val="00F03E22"/>
    <w:rsid w:val="00F03E71"/>
    <w:rsid w:val="00F04141"/>
    <w:rsid w:val="00F049AA"/>
    <w:rsid w:val="00F04FE7"/>
    <w:rsid w:val="00F06279"/>
    <w:rsid w:val="00F06A3E"/>
    <w:rsid w:val="00F06C76"/>
    <w:rsid w:val="00F07735"/>
    <w:rsid w:val="00F07C18"/>
    <w:rsid w:val="00F10259"/>
    <w:rsid w:val="00F10B87"/>
    <w:rsid w:val="00F119CB"/>
    <w:rsid w:val="00F128B9"/>
    <w:rsid w:val="00F12AAD"/>
    <w:rsid w:val="00F12E3F"/>
    <w:rsid w:val="00F13A3B"/>
    <w:rsid w:val="00F14D2C"/>
    <w:rsid w:val="00F162F0"/>
    <w:rsid w:val="00F168D0"/>
    <w:rsid w:val="00F1695D"/>
    <w:rsid w:val="00F16BFF"/>
    <w:rsid w:val="00F1793E"/>
    <w:rsid w:val="00F204D1"/>
    <w:rsid w:val="00F20752"/>
    <w:rsid w:val="00F212E3"/>
    <w:rsid w:val="00F213F1"/>
    <w:rsid w:val="00F214E0"/>
    <w:rsid w:val="00F223CC"/>
    <w:rsid w:val="00F22D43"/>
    <w:rsid w:val="00F23158"/>
    <w:rsid w:val="00F237F1"/>
    <w:rsid w:val="00F23F55"/>
    <w:rsid w:val="00F24A18"/>
    <w:rsid w:val="00F251D1"/>
    <w:rsid w:val="00F255A6"/>
    <w:rsid w:val="00F25C5A"/>
    <w:rsid w:val="00F274BB"/>
    <w:rsid w:val="00F27BD5"/>
    <w:rsid w:val="00F308ED"/>
    <w:rsid w:val="00F31342"/>
    <w:rsid w:val="00F31397"/>
    <w:rsid w:val="00F318F7"/>
    <w:rsid w:val="00F33B3F"/>
    <w:rsid w:val="00F33D54"/>
    <w:rsid w:val="00F341EE"/>
    <w:rsid w:val="00F34EE7"/>
    <w:rsid w:val="00F35020"/>
    <w:rsid w:val="00F354EA"/>
    <w:rsid w:val="00F36035"/>
    <w:rsid w:val="00F3631B"/>
    <w:rsid w:val="00F36A56"/>
    <w:rsid w:val="00F3775C"/>
    <w:rsid w:val="00F37CDA"/>
    <w:rsid w:val="00F37E8C"/>
    <w:rsid w:val="00F401E5"/>
    <w:rsid w:val="00F40870"/>
    <w:rsid w:val="00F413DD"/>
    <w:rsid w:val="00F430F0"/>
    <w:rsid w:val="00F4333C"/>
    <w:rsid w:val="00F43800"/>
    <w:rsid w:val="00F43AEB"/>
    <w:rsid w:val="00F43E2B"/>
    <w:rsid w:val="00F45D1A"/>
    <w:rsid w:val="00F4623A"/>
    <w:rsid w:val="00F463D0"/>
    <w:rsid w:val="00F46602"/>
    <w:rsid w:val="00F5030B"/>
    <w:rsid w:val="00F50D3C"/>
    <w:rsid w:val="00F51080"/>
    <w:rsid w:val="00F5167F"/>
    <w:rsid w:val="00F523B3"/>
    <w:rsid w:val="00F52E34"/>
    <w:rsid w:val="00F53496"/>
    <w:rsid w:val="00F53E5A"/>
    <w:rsid w:val="00F53FEE"/>
    <w:rsid w:val="00F54580"/>
    <w:rsid w:val="00F5497F"/>
    <w:rsid w:val="00F549AE"/>
    <w:rsid w:val="00F54FE1"/>
    <w:rsid w:val="00F5502B"/>
    <w:rsid w:val="00F550AF"/>
    <w:rsid w:val="00F55589"/>
    <w:rsid w:val="00F55693"/>
    <w:rsid w:val="00F563DD"/>
    <w:rsid w:val="00F5663D"/>
    <w:rsid w:val="00F56884"/>
    <w:rsid w:val="00F56D0D"/>
    <w:rsid w:val="00F573E4"/>
    <w:rsid w:val="00F5778F"/>
    <w:rsid w:val="00F60BA7"/>
    <w:rsid w:val="00F61360"/>
    <w:rsid w:val="00F616F0"/>
    <w:rsid w:val="00F6288F"/>
    <w:rsid w:val="00F63E90"/>
    <w:rsid w:val="00F64160"/>
    <w:rsid w:val="00F644B9"/>
    <w:rsid w:val="00F6548D"/>
    <w:rsid w:val="00F660B3"/>
    <w:rsid w:val="00F6704F"/>
    <w:rsid w:val="00F67143"/>
    <w:rsid w:val="00F676FF"/>
    <w:rsid w:val="00F6793E"/>
    <w:rsid w:val="00F67982"/>
    <w:rsid w:val="00F70357"/>
    <w:rsid w:val="00F704B7"/>
    <w:rsid w:val="00F705F9"/>
    <w:rsid w:val="00F717BC"/>
    <w:rsid w:val="00F71AF4"/>
    <w:rsid w:val="00F72636"/>
    <w:rsid w:val="00F72DAA"/>
    <w:rsid w:val="00F73D76"/>
    <w:rsid w:val="00F73E3F"/>
    <w:rsid w:val="00F73EDD"/>
    <w:rsid w:val="00F746CD"/>
    <w:rsid w:val="00F75BF0"/>
    <w:rsid w:val="00F7741A"/>
    <w:rsid w:val="00F80BBD"/>
    <w:rsid w:val="00F8196B"/>
    <w:rsid w:val="00F825FC"/>
    <w:rsid w:val="00F82798"/>
    <w:rsid w:val="00F82ADC"/>
    <w:rsid w:val="00F82C1A"/>
    <w:rsid w:val="00F82F4D"/>
    <w:rsid w:val="00F83505"/>
    <w:rsid w:val="00F8414A"/>
    <w:rsid w:val="00F846A1"/>
    <w:rsid w:val="00F8470D"/>
    <w:rsid w:val="00F84DFB"/>
    <w:rsid w:val="00F857A6"/>
    <w:rsid w:val="00F923FE"/>
    <w:rsid w:val="00F927A2"/>
    <w:rsid w:val="00F931E0"/>
    <w:rsid w:val="00F93433"/>
    <w:rsid w:val="00F93761"/>
    <w:rsid w:val="00F94094"/>
    <w:rsid w:val="00F942B1"/>
    <w:rsid w:val="00F94611"/>
    <w:rsid w:val="00F94FCB"/>
    <w:rsid w:val="00F95D71"/>
    <w:rsid w:val="00F96338"/>
    <w:rsid w:val="00F970D6"/>
    <w:rsid w:val="00F97D04"/>
    <w:rsid w:val="00FA003B"/>
    <w:rsid w:val="00FA02FD"/>
    <w:rsid w:val="00FA0525"/>
    <w:rsid w:val="00FA1912"/>
    <w:rsid w:val="00FA1957"/>
    <w:rsid w:val="00FA23E2"/>
    <w:rsid w:val="00FA2F3C"/>
    <w:rsid w:val="00FA41AB"/>
    <w:rsid w:val="00FA46F5"/>
    <w:rsid w:val="00FA49D4"/>
    <w:rsid w:val="00FA4EA1"/>
    <w:rsid w:val="00FA587E"/>
    <w:rsid w:val="00FA58A8"/>
    <w:rsid w:val="00FA5AB5"/>
    <w:rsid w:val="00FA5DE8"/>
    <w:rsid w:val="00FA6A49"/>
    <w:rsid w:val="00FA6EB4"/>
    <w:rsid w:val="00FA6F36"/>
    <w:rsid w:val="00FA75FD"/>
    <w:rsid w:val="00FA7C6E"/>
    <w:rsid w:val="00FB0629"/>
    <w:rsid w:val="00FB198F"/>
    <w:rsid w:val="00FB1C0A"/>
    <w:rsid w:val="00FB33FF"/>
    <w:rsid w:val="00FB399A"/>
    <w:rsid w:val="00FB44B5"/>
    <w:rsid w:val="00FB4BFC"/>
    <w:rsid w:val="00FB54E7"/>
    <w:rsid w:val="00FB56D9"/>
    <w:rsid w:val="00FB6850"/>
    <w:rsid w:val="00FB7245"/>
    <w:rsid w:val="00FB7ACA"/>
    <w:rsid w:val="00FC0168"/>
    <w:rsid w:val="00FC03C8"/>
    <w:rsid w:val="00FC1EA3"/>
    <w:rsid w:val="00FC1F9A"/>
    <w:rsid w:val="00FC204B"/>
    <w:rsid w:val="00FC2E1E"/>
    <w:rsid w:val="00FC3549"/>
    <w:rsid w:val="00FC36A3"/>
    <w:rsid w:val="00FC396A"/>
    <w:rsid w:val="00FC3D51"/>
    <w:rsid w:val="00FC41A8"/>
    <w:rsid w:val="00FC4D01"/>
    <w:rsid w:val="00FC545D"/>
    <w:rsid w:val="00FC548B"/>
    <w:rsid w:val="00FC5795"/>
    <w:rsid w:val="00FC67A5"/>
    <w:rsid w:val="00FC6E87"/>
    <w:rsid w:val="00FC713A"/>
    <w:rsid w:val="00FC72E6"/>
    <w:rsid w:val="00FD1C4B"/>
    <w:rsid w:val="00FD22FA"/>
    <w:rsid w:val="00FD2662"/>
    <w:rsid w:val="00FD2F78"/>
    <w:rsid w:val="00FD3D8E"/>
    <w:rsid w:val="00FD45B6"/>
    <w:rsid w:val="00FD46F0"/>
    <w:rsid w:val="00FD4E67"/>
    <w:rsid w:val="00FD52C3"/>
    <w:rsid w:val="00FD5B38"/>
    <w:rsid w:val="00FD65B6"/>
    <w:rsid w:val="00FD710D"/>
    <w:rsid w:val="00FD7374"/>
    <w:rsid w:val="00FE0B44"/>
    <w:rsid w:val="00FE1D5F"/>
    <w:rsid w:val="00FE2F2C"/>
    <w:rsid w:val="00FE312E"/>
    <w:rsid w:val="00FE34EC"/>
    <w:rsid w:val="00FE3572"/>
    <w:rsid w:val="00FE3774"/>
    <w:rsid w:val="00FE3E05"/>
    <w:rsid w:val="00FE4E83"/>
    <w:rsid w:val="00FE51CA"/>
    <w:rsid w:val="00FE607B"/>
    <w:rsid w:val="00FE6944"/>
    <w:rsid w:val="00FE7384"/>
    <w:rsid w:val="00FE7545"/>
    <w:rsid w:val="00FE75FC"/>
    <w:rsid w:val="00FE769E"/>
    <w:rsid w:val="00FE76EE"/>
    <w:rsid w:val="00FF1DE0"/>
    <w:rsid w:val="00FF21AA"/>
    <w:rsid w:val="00FF3305"/>
    <w:rsid w:val="00FF3A09"/>
    <w:rsid w:val="00FF3A9C"/>
    <w:rsid w:val="00FF48A3"/>
    <w:rsid w:val="00FF573E"/>
    <w:rsid w:val="00FF5FAA"/>
    <w:rsid w:val="00FF71C5"/>
    <w:rsid w:val="00FF7511"/>
    <w:rsid w:val="00FF7D97"/>
    <w:rsid w:val="019F6EC3"/>
    <w:rsid w:val="05241976"/>
    <w:rsid w:val="07DA05B0"/>
    <w:rsid w:val="0A596291"/>
    <w:rsid w:val="105F0189"/>
    <w:rsid w:val="15C96FB6"/>
    <w:rsid w:val="18028372"/>
    <w:rsid w:val="1C193BEA"/>
    <w:rsid w:val="1DD973D2"/>
    <w:rsid w:val="1E2E7762"/>
    <w:rsid w:val="1E672F65"/>
    <w:rsid w:val="21E24F47"/>
    <w:rsid w:val="236A63AE"/>
    <w:rsid w:val="29880B8A"/>
    <w:rsid w:val="2DAF7484"/>
    <w:rsid w:val="2F105EB7"/>
    <w:rsid w:val="30B273E7"/>
    <w:rsid w:val="350A3065"/>
    <w:rsid w:val="35FA5C73"/>
    <w:rsid w:val="36B417CA"/>
    <w:rsid w:val="36D87B2D"/>
    <w:rsid w:val="370905A4"/>
    <w:rsid w:val="39292CF8"/>
    <w:rsid w:val="39F350B4"/>
    <w:rsid w:val="3D864BBD"/>
    <w:rsid w:val="3EA33813"/>
    <w:rsid w:val="405E7F9B"/>
    <w:rsid w:val="42B92DFC"/>
    <w:rsid w:val="42D83F3B"/>
    <w:rsid w:val="456A18EE"/>
    <w:rsid w:val="458E2D89"/>
    <w:rsid w:val="481B44E0"/>
    <w:rsid w:val="48D06A38"/>
    <w:rsid w:val="49E9617F"/>
    <w:rsid w:val="4B0163A2"/>
    <w:rsid w:val="4CBF412D"/>
    <w:rsid w:val="4F226AB9"/>
    <w:rsid w:val="4F4842F0"/>
    <w:rsid w:val="516B2380"/>
    <w:rsid w:val="541657D9"/>
    <w:rsid w:val="54DC5CD4"/>
    <w:rsid w:val="564458CB"/>
    <w:rsid w:val="60B85282"/>
    <w:rsid w:val="60C04E22"/>
    <w:rsid w:val="63957B6C"/>
    <w:rsid w:val="66710149"/>
    <w:rsid w:val="6AA242F5"/>
    <w:rsid w:val="6E5740CB"/>
    <w:rsid w:val="6F775864"/>
    <w:rsid w:val="724034C3"/>
    <w:rsid w:val="729B2D52"/>
    <w:rsid w:val="75121B9E"/>
    <w:rsid w:val="76082F33"/>
    <w:rsid w:val="77E110F7"/>
    <w:rsid w:val="792E168A"/>
    <w:rsid w:val="79EA4FF2"/>
    <w:rsid w:val="7B0B09A8"/>
    <w:rsid w:val="7D087027"/>
    <w:rsid w:val="7DA008BB"/>
    <w:rsid w:val="7DA8556F"/>
    <w:rsid w:val="7EAB72D9"/>
    <w:rsid w:val="7EC31B9B"/>
    <w:rsid w:val="7F606315"/>
    <w:rsid w:val="7FD700B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exact"/>
      <w:jc w:val="both"/>
    </w:pPr>
    <w:rPr>
      <w:rFonts w:ascii="思源黑体 CN Regular" w:hAnsi="思源黑体 CN Regular" w:eastAsia="思源黑体 CN Regular" w:cstheme="minorBidi"/>
      <w:kern w:val="2"/>
      <w:szCs w:val="22"/>
      <w:lang w:val="en-US" w:eastAsia="zh-CN" w:bidi="ar-SA"/>
    </w:rPr>
  </w:style>
  <w:style w:type="paragraph" w:styleId="2">
    <w:name w:val="heading 1"/>
    <w:basedOn w:val="1"/>
    <w:next w:val="1"/>
    <w:link w:val="28"/>
    <w:qFormat/>
    <w:uiPriority w:val="9"/>
    <w:pPr>
      <w:keepNext/>
      <w:keepLines/>
      <w:spacing w:before="340" w:after="330" w:line="578" w:lineRule="auto"/>
      <w:outlineLvl w:val="0"/>
    </w:pPr>
    <w:rPr>
      <w:rFonts w:eastAsia="微软雅黑"/>
      <w:b/>
      <w:bCs/>
      <w:color w:val="F0463C"/>
      <w:kern w:val="44"/>
      <w:sz w:val="44"/>
      <w:szCs w:val="44"/>
    </w:rPr>
  </w:style>
  <w:style w:type="paragraph" w:styleId="3">
    <w:name w:val="heading 2"/>
    <w:basedOn w:val="1"/>
    <w:next w:val="1"/>
    <w:link w:val="26"/>
    <w:unhideWhenUsed/>
    <w:qFormat/>
    <w:uiPriority w:val="9"/>
    <w:pPr>
      <w:keepNext/>
      <w:keepLines/>
      <w:numPr>
        <w:ilvl w:val="1"/>
        <w:numId w:val="1"/>
      </w:numPr>
      <w:spacing w:before="260" w:after="260" w:line="416" w:lineRule="auto"/>
      <w:outlineLvl w:val="1"/>
    </w:pPr>
    <w:rPr>
      <w:rFonts w:asciiTheme="majorHAnsi" w:hAnsiTheme="majorHAnsi" w:eastAsiaTheme="majorEastAsia" w:cstheme="majorBidi"/>
      <w:b/>
      <w:bCs/>
      <w:color w:val="F0463C"/>
      <w:sz w:val="32"/>
      <w:szCs w:val="32"/>
    </w:rPr>
  </w:style>
  <w:style w:type="paragraph" w:styleId="4">
    <w:name w:val="heading 3"/>
    <w:basedOn w:val="1"/>
    <w:next w:val="1"/>
    <w:link w:val="57"/>
    <w:semiHidden/>
    <w:unhideWhenUsed/>
    <w:qFormat/>
    <w:uiPriority w:val="9"/>
    <w:pPr>
      <w:keepNext/>
      <w:keepLines/>
      <w:spacing w:before="40"/>
      <w:outlineLvl w:val="2"/>
    </w:pPr>
    <w:rPr>
      <w:rFonts w:asciiTheme="majorHAnsi" w:hAnsiTheme="majorHAnsi" w:eastAsiaTheme="majorEastAsia" w:cstheme="majorBidi"/>
      <w:color w:val="1F4E79" w:themeColor="accent1" w:themeShade="80"/>
      <w:sz w:val="24"/>
      <w:szCs w:val="24"/>
    </w:rPr>
  </w:style>
  <w:style w:type="paragraph" w:styleId="5">
    <w:name w:val="heading 4"/>
    <w:basedOn w:val="1"/>
    <w:next w:val="1"/>
    <w:link w:val="65"/>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58"/>
    <w:semiHidden/>
    <w:unhideWhenUsed/>
    <w:qFormat/>
    <w:uiPriority w:val="9"/>
    <w:pPr>
      <w:keepNext/>
      <w:keepLines/>
      <w:spacing w:before="40"/>
      <w:outlineLvl w:val="4"/>
    </w:pPr>
    <w:rPr>
      <w:rFonts w:asciiTheme="majorHAnsi" w:hAnsiTheme="majorHAnsi" w:eastAsiaTheme="majorEastAsia" w:cstheme="majorBidi"/>
      <w:color w:val="2E75B6" w:themeColor="accent1" w:themeShade="BF"/>
    </w:rPr>
  </w:style>
  <w:style w:type="character" w:default="1" w:styleId="19">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7">
    <w:name w:val="annotation text"/>
    <w:basedOn w:val="1"/>
    <w:link w:val="52"/>
    <w:semiHidden/>
    <w:unhideWhenUsed/>
    <w:qFormat/>
    <w:uiPriority w:val="99"/>
    <w:pPr>
      <w:jc w:val="left"/>
    </w:pPr>
  </w:style>
  <w:style w:type="paragraph" w:styleId="8">
    <w:name w:val="toc 3"/>
    <w:basedOn w:val="1"/>
    <w:next w:val="1"/>
    <w:unhideWhenUsed/>
    <w:qFormat/>
    <w:uiPriority w:val="39"/>
    <w:pPr>
      <w:spacing w:after="100"/>
      <w:ind w:left="420"/>
    </w:pPr>
  </w:style>
  <w:style w:type="paragraph" w:styleId="9">
    <w:name w:val="Balloon Text"/>
    <w:basedOn w:val="1"/>
    <w:link w:val="50"/>
    <w:semiHidden/>
    <w:unhideWhenUsed/>
    <w:qFormat/>
    <w:uiPriority w:val="99"/>
    <w:rPr>
      <w:sz w:val="18"/>
      <w:szCs w:val="18"/>
    </w:rPr>
  </w:style>
  <w:style w:type="paragraph" w:styleId="10">
    <w:name w:val="footer"/>
    <w:basedOn w:val="1"/>
    <w:link w:val="42"/>
    <w:unhideWhenUsed/>
    <w:qFormat/>
    <w:uiPriority w:val="99"/>
    <w:pPr>
      <w:tabs>
        <w:tab w:val="center" w:pos="4153"/>
        <w:tab w:val="right" w:pos="8306"/>
      </w:tabs>
      <w:snapToGrid w:val="0"/>
      <w:jc w:val="left"/>
    </w:pPr>
    <w:rPr>
      <w:sz w:val="18"/>
      <w:szCs w:val="18"/>
    </w:rPr>
  </w:style>
  <w:style w:type="paragraph" w:styleId="11">
    <w:name w:val="header"/>
    <w:basedOn w:val="1"/>
    <w:link w:val="41"/>
    <w:unhideWhenUsed/>
    <w:qFormat/>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unhideWhenUsed/>
    <w:qFormat/>
    <w:uiPriority w:val="39"/>
    <w:pPr>
      <w:tabs>
        <w:tab w:val="left" w:pos="420"/>
        <w:tab w:val="right" w:leader="dot" w:pos="8296"/>
      </w:tabs>
      <w:spacing w:before="240" w:after="120"/>
      <w:jc w:val="left"/>
    </w:pPr>
    <w:rPr>
      <w:b/>
      <w:bCs/>
      <w:sz w:val="24"/>
      <w:szCs w:val="20"/>
    </w:rPr>
  </w:style>
  <w:style w:type="paragraph" w:styleId="13">
    <w:name w:val="footnote text"/>
    <w:basedOn w:val="1"/>
    <w:link w:val="75"/>
    <w:semiHidden/>
    <w:unhideWhenUsed/>
    <w:qFormat/>
    <w:uiPriority w:val="99"/>
    <w:pPr>
      <w:spacing w:line="240" w:lineRule="auto"/>
    </w:pPr>
    <w:rPr>
      <w:szCs w:val="20"/>
    </w:rPr>
  </w:style>
  <w:style w:type="paragraph" w:styleId="14">
    <w:name w:val="toc 2"/>
    <w:basedOn w:val="1"/>
    <w:next w:val="1"/>
    <w:unhideWhenUsed/>
    <w:qFormat/>
    <w:uiPriority w:val="39"/>
    <w:pPr>
      <w:tabs>
        <w:tab w:val="left" w:pos="880"/>
        <w:tab w:val="right" w:leader="dot" w:pos="8296"/>
      </w:tabs>
      <w:spacing w:before="120"/>
      <w:ind w:left="210"/>
      <w:jc w:val="left"/>
    </w:pPr>
    <w:rPr>
      <w:i/>
      <w:iCs/>
      <w:sz w:val="21"/>
      <w:szCs w:val="20"/>
    </w:rPr>
  </w:style>
  <w:style w:type="paragraph" w:styleId="15">
    <w:name w:val="Normal (Web)"/>
    <w:basedOn w:val="1"/>
    <w:unhideWhenUsed/>
    <w:qFormat/>
    <w:uiPriority w:val="0"/>
    <w:pPr>
      <w:widowControl/>
      <w:spacing w:before="100" w:beforeAutospacing="1" w:after="100" w:afterAutospacing="1"/>
      <w:jc w:val="left"/>
    </w:pPr>
    <w:rPr>
      <w:rFonts w:ascii="宋体" w:hAnsi="宋体" w:eastAsia="宋体" w:cs="宋体"/>
      <w:kern w:val="0"/>
      <w:sz w:val="24"/>
      <w:szCs w:val="24"/>
    </w:rPr>
  </w:style>
  <w:style w:type="paragraph" w:styleId="16">
    <w:name w:val="annotation subject"/>
    <w:basedOn w:val="7"/>
    <w:next w:val="7"/>
    <w:link w:val="53"/>
    <w:semiHidden/>
    <w:unhideWhenUsed/>
    <w:qFormat/>
    <w:uiPriority w:val="99"/>
    <w:rPr>
      <w:b/>
      <w:bCs/>
    </w:rPr>
  </w:style>
  <w:style w:type="table" w:styleId="18">
    <w:name w:val="Table Grid"/>
    <w:basedOn w:val="1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Strong"/>
    <w:basedOn w:val="19"/>
    <w:qFormat/>
    <w:uiPriority w:val="22"/>
    <w:rPr>
      <w:b/>
      <w:bCs/>
    </w:rPr>
  </w:style>
  <w:style w:type="character" w:styleId="21">
    <w:name w:val="FollowedHyperlink"/>
    <w:basedOn w:val="19"/>
    <w:semiHidden/>
    <w:unhideWhenUsed/>
    <w:qFormat/>
    <w:uiPriority w:val="99"/>
    <w:rPr>
      <w:color w:val="954F72" w:themeColor="followedHyperlink"/>
      <w:u w:val="single"/>
      <w14:textFill>
        <w14:solidFill>
          <w14:schemeClr w14:val="folHlink"/>
        </w14:solidFill>
      </w14:textFill>
    </w:rPr>
  </w:style>
  <w:style w:type="character" w:styleId="22">
    <w:name w:val="Emphasis"/>
    <w:basedOn w:val="19"/>
    <w:qFormat/>
    <w:uiPriority w:val="20"/>
    <w:rPr>
      <w:i/>
      <w:iCs/>
    </w:rPr>
  </w:style>
  <w:style w:type="character" w:styleId="23">
    <w:name w:val="Hyperlink"/>
    <w:basedOn w:val="19"/>
    <w:unhideWhenUsed/>
    <w:qFormat/>
    <w:uiPriority w:val="99"/>
    <w:rPr>
      <w:color w:val="0563C1" w:themeColor="hyperlink"/>
      <w:u w:val="single"/>
      <w14:textFill>
        <w14:solidFill>
          <w14:schemeClr w14:val="hlink"/>
        </w14:solidFill>
      </w14:textFill>
    </w:rPr>
  </w:style>
  <w:style w:type="character" w:styleId="24">
    <w:name w:val="annotation reference"/>
    <w:basedOn w:val="19"/>
    <w:semiHidden/>
    <w:unhideWhenUsed/>
    <w:qFormat/>
    <w:uiPriority w:val="99"/>
    <w:rPr>
      <w:sz w:val="21"/>
      <w:szCs w:val="21"/>
    </w:rPr>
  </w:style>
  <w:style w:type="character" w:styleId="25">
    <w:name w:val="footnote reference"/>
    <w:basedOn w:val="19"/>
    <w:semiHidden/>
    <w:unhideWhenUsed/>
    <w:qFormat/>
    <w:uiPriority w:val="99"/>
    <w:rPr>
      <w:vertAlign w:val="superscript"/>
    </w:rPr>
  </w:style>
  <w:style w:type="character" w:customStyle="1" w:styleId="26">
    <w:name w:val="标题 2 字符"/>
    <w:basedOn w:val="19"/>
    <w:link w:val="3"/>
    <w:qFormat/>
    <w:uiPriority w:val="9"/>
    <w:rPr>
      <w:rFonts w:asciiTheme="majorHAnsi" w:hAnsiTheme="majorHAnsi" w:eastAsiaTheme="majorEastAsia" w:cstheme="majorBidi"/>
      <w:b/>
      <w:bCs/>
      <w:color w:val="F0463C"/>
      <w:kern w:val="2"/>
      <w:sz w:val="32"/>
      <w:szCs w:val="32"/>
    </w:rPr>
  </w:style>
  <w:style w:type="paragraph" w:customStyle="1" w:styleId="27">
    <w:name w:val="列出段落11"/>
    <w:basedOn w:val="1"/>
    <w:qFormat/>
    <w:uiPriority w:val="34"/>
    <w:rPr>
      <w:rFonts w:ascii="Times New Roman" w:hAnsi="Times New Roman" w:eastAsia="宋体" w:cs="Times New Roman"/>
      <w:szCs w:val="20"/>
    </w:rPr>
  </w:style>
  <w:style w:type="character" w:customStyle="1" w:styleId="28">
    <w:name w:val="标题 1 字符"/>
    <w:basedOn w:val="19"/>
    <w:link w:val="2"/>
    <w:qFormat/>
    <w:uiPriority w:val="9"/>
    <w:rPr>
      <w:rFonts w:ascii="微软雅黑" w:hAnsi="微软雅黑" w:eastAsia="微软雅黑"/>
      <w:b/>
      <w:bCs/>
      <w:color w:val="F0463C"/>
      <w:kern w:val="44"/>
      <w:sz w:val="44"/>
      <w:szCs w:val="44"/>
    </w:rPr>
  </w:style>
  <w:style w:type="paragraph" w:styleId="29">
    <w:name w:val="List Paragraph"/>
    <w:basedOn w:val="1"/>
    <w:link w:val="34"/>
    <w:qFormat/>
    <w:uiPriority w:val="99"/>
    <w:pPr>
      <w:ind w:firstLine="420" w:firstLineChars="200"/>
    </w:pPr>
  </w:style>
  <w:style w:type="paragraph" w:customStyle="1" w:styleId="30">
    <w:name w:val="CN规则 正文"/>
    <w:basedOn w:val="1"/>
    <w:link w:val="32"/>
    <w:qFormat/>
    <w:uiPriority w:val="0"/>
    <w:pPr>
      <w:spacing w:line="420" w:lineRule="exact"/>
      <w:ind w:firstLine="471"/>
    </w:pPr>
    <w:rPr>
      <w:rFonts w:cs="微软雅黑"/>
      <w:color w:val="000000" w:themeColor="text1"/>
      <w:sz w:val="24"/>
      <w:szCs w:val="21"/>
      <w14:textFill>
        <w14:solidFill>
          <w14:schemeClr w14:val="tx1"/>
        </w14:solidFill>
      </w14:textFill>
    </w:rPr>
  </w:style>
  <w:style w:type="paragraph" w:customStyle="1" w:styleId="31">
    <w:name w:val="符号正文"/>
    <w:basedOn w:val="29"/>
    <w:link w:val="35"/>
    <w:qFormat/>
    <w:uiPriority w:val="0"/>
    <w:pPr>
      <w:numPr>
        <w:ilvl w:val="0"/>
        <w:numId w:val="2"/>
      </w:numPr>
      <w:spacing w:line="240" w:lineRule="auto"/>
      <w:ind w:firstLine="0" w:firstLineChars="0"/>
    </w:pPr>
    <w:rPr>
      <w:rFonts w:eastAsia="微软雅黑" w:cs="微软雅黑"/>
      <w:sz w:val="24"/>
      <w:szCs w:val="21"/>
    </w:rPr>
  </w:style>
  <w:style w:type="character" w:customStyle="1" w:styleId="32">
    <w:name w:val="CN规则 正文 字符"/>
    <w:basedOn w:val="19"/>
    <w:link w:val="30"/>
    <w:qFormat/>
    <w:uiPriority w:val="0"/>
    <w:rPr>
      <w:rFonts w:ascii="思源黑体 CN Regular" w:hAnsi="思源黑体 CN Regular" w:eastAsia="思源黑体 CN Regular" w:cs="微软雅黑"/>
      <w:color w:val="000000" w:themeColor="text1"/>
      <w:kern w:val="2"/>
      <w:sz w:val="24"/>
      <w:szCs w:val="21"/>
      <w14:textFill>
        <w14:solidFill>
          <w14:schemeClr w14:val="tx1"/>
        </w14:solidFill>
      </w14:textFill>
    </w:rPr>
  </w:style>
  <w:style w:type="paragraph" w:customStyle="1" w:styleId="33">
    <w:name w:val="二级标题1"/>
    <w:basedOn w:val="3"/>
    <w:next w:val="30"/>
    <w:link w:val="37"/>
    <w:qFormat/>
    <w:uiPriority w:val="0"/>
    <w:pPr>
      <w:numPr>
        <w:numId w:val="3"/>
      </w:numPr>
      <w:spacing w:line="415" w:lineRule="auto"/>
      <w:ind w:left="840"/>
    </w:pPr>
    <w:rPr>
      <w:rFonts w:ascii="思源黑体 CN Heavy" w:hAnsi="思源黑体 CN Heavy" w:eastAsia="思源黑体 CN Heavy"/>
      <w:color w:val="E6233C"/>
    </w:rPr>
  </w:style>
  <w:style w:type="character" w:customStyle="1" w:styleId="34">
    <w:name w:val="列表段落 字符"/>
    <w:basedOn w:val="19"/>
    <w:link w:val="29"/>
    <w:qFormat/>
    <w:uiPriority w:val="34"/>
  </w:style>
  <w:style w:type="character" w:customStyle="1" w:styleId="35">
    <w:name w:val="符号正文 字符"/>
    <w:basedOn w:val="34"/>
    <w:link w:val="31"/>
    <w:qFormat/>
    <w:uiPriority w:val="0"/>
    <w:rPr>
      <w:rFonts w:ascii="思源黑体 CN Regular" w:hAnsi="思源黑体 CN Regular" w:eastAsia="微软雅黑" w:cs="微软雅黑"/>
      <w:kern w:val="2"/>
      <w:sz w:val="24"/>
      <w:szCs w:val="21"/>
    </w:rPr>
  </w:style>
  <w:style w:type="paragraph" w:customStyle="1" w:styleId="36">
    <w:name w:val="一级标题"/>
    <w:basedOn w:val="2"/>
    <w:link w:val="39"/>
    <w:qFormat/>
    <w:uiPriority w:val="0"/>
    <w:pPr>
      <w:numPr>
        <w:ilvl w:val="0"/>
        <w:numId w:val="3"/>
      </w:numPr>
    </w:pPr>
    <w:rPr>
      <w:rFonts w:ascii="思源黑体 CN Heavy" w:hAnsi="思源黑体 CN Heavy" w:eastAsia="思源黑体 CN Heavy"/>
      <w:color w:val="E6233C"/>
    </w:rPr>
  </w:style>
  <w:style w:type="character" w:customStyle="1" w:styleId="37">
    <w:name w:val="二级标题1 Char"/>
    <w:basedOn w:val="26"/>
    <w:link w:val="33"/>
    <w:qFormat/>
    <w:uiPriority w:val="0"/>
    <w:rPr>
      <w:rFonts w:ascii="思源黑体 CN Heavy" w:hAnsi="思源黑体 CN Heavy" w:eastAsia="思源黑体 CN Heavy" w:cstheme="majorBidi"/>
      <w:color w:val="E6233C"/>
      <w:kern w:val="2"/>
      <w:sz w:val="32"/>
      <w:szCs w:val="32"/>
    </w:rPr>
  </w:style>
  <w:style w:type="paragraph" w:customStyle="1" w:styleId="38">
    <w:name w:val="三级标题"/>
    <w:basedOn w:val="30"/>
    <w:link w:val="40"/>
    <w:qFormat/>
    <w:uiPriority w:val="0"/>
    <w:pPr>
      <w:ind w:firstLine="0"/>
      <w:outlineLvl w:val="2"/>
    </w:pPr>
    <w:rPr>
      <w:b/>
      <w:color w:val="F0463C"/>
    </w:rPr>
  </w:style>
  <w:style w:type="character" w:customStyle="1" w:styleId="39">
    <w:name w:val="一级标题 字符"/>
    <w:basedOn w:val="28"/>
    <w:link w:val="36"/>
    <w:qFormat/>
    <w:uiPriority w:val="0"/>
    <w:rPr>
      <w:rFonts w:ascii="思源黑体 CN Heavy" w:hAnsi="思源黑体 CN Heavy" w:eastAsia="思源黑体 CN Heavy"/>
      <w:color w:val="E6233C"/>
      <w:kern w:val="44"/>
      <w:sz w:val="44"/>
      <w:szCs w:val="44"/>
    </w:rPr>
  </w:style>
  <w:style w:type="character" w:customStyle="1" w:styleId="40">
    <w:name w:val="三级标题 字符"/>
    <w:basedOn w:val="32"/>
    <w:link w:val="38"/>
    <w:qFormat/>
    <w:uiPriority w:val="0"/>
    <w:rPr>
      <w:rFonts w:ascii="微软雅黑" w:hAnsi="微软雅黑" w:eastAsia="微软雅黑" w:cs="微软雅黑"/>
      <w:b/>
      <w:color w:val="F0463C"/>
      <w:kern w:val="2"/>
      <w:sz w:val="24"/>
      <w:szCs w:val="21"/>
    </w:rPr>
  </w:style>
  <w:style w:type="character" w:customStyle="1" w:styleId="41">
    <w:name w:val="页眉 字符"/>
    <w:basedOn w:val="19"/>
    <w:link w:val="11"/>
    <w:qFormat/>
    <w:uiPriority w:val="99"/>
    <w:rPr>
      <w:sz w:val="18"/>
      <w:szCs w:val="18"/>
    </w:rPr>
  </w:style>
  <w:style w:type="character" w:customStyle="1" w:styleId="42">
    <w:name w:val="页脚 字符"/>
    <w:basedOn w:val="19"/>
    <w:link w:val="10"/>
    <w:qFormat/>
    <w:uiPriority w:val="99"/>
    <w:rPr>
      <w:sz w:val="18"/>
      <w:szCs w:val="18"/>
    </w:rPr>
  </w:style>
  <w:style w:type="paragraph" w:customStyle="1" w:styleId="43">
    <w:name w:val="三级标题1"/>
    <w:basedOn w:val="38"/>
    <w:link w:val="44"/>
    <w:qFormat/>
    <w:uiPriority w:val="0"/>
    <w:pPr>
      <w:numPr>
        <w:ilvl w:val="2"/>
        <w:numId w:val="4"/>
      </w:numPr>
    </w:pPr>
  </w:style>
  <w:style w:type="character" w:customStyle="1" w:styleId="44">
    <w:name w:val="三级标题1 字符"/>
    <w:basedOn w:val="40"/>
    <w:link w:val="43"/>
    <w:qFormat/>
    <w:uiPriority w:val="0"/>
    <w:rPr>
      <w:rFonts w:ascii="思源黑体 CN Regular" w:hAnsi="思源黑体 CN Regular" w:eastAsia="思源黑体 CN Regular" w:cs="微软雅黑"/>
      <w:color w:val="F0463C"/>
      <w:kern w:val="2"/>
      <w:sz w:val="24"/>
      <w:szCs w:val="21"/>
    </w:rPr>
  </w:style>
  <w:style w:type="paragraph" w:customStyle="1" w:styleId="45">
    <w:name w:val="11"/>
    <w:basedOn w:val="1"/>
    <w:qFormat/>
    <w:uiPriority w:val="0"/>
    <w:pPr>
      <w:widowControl/>
      <w:spacing w:before="100" w:beforeAutospacing="1" w:after="100" w:afterAutospacing="1"/>
      <w:jc w:val="left"/>
    </w:pPr>
    <w:rPr>
      <w:rFonts w:ascii="宋体" w:hAnsi="宋体" w:eastAsia="宋体" w:cs="宋体"/>
      <w:kern w:val="0"/>
      <w:sz w:val="24"/>
      <w:szCs w:val="24"/>
    </w:rPr>
  </w:style>
  <w:style w:type="character" w:customStyle="1" w:styleId="46">
    <w:name w:val="inline-comment-marker"/>
    <w:basedOn w:val="19"/>
    <w:qFormat/>
    <w:uiPriority w:val="0"/>
  </w:style>
  <w:style w:type="paragraph" w:customStyle="1" w:styleId="47">
    <w:name w:val="规则"/>
    <w:basedOn w:val="48"/>
    <w:link w:val="49"/>
    <w:qFormat/>
    <w:uiPriority w:val="0"/>
    <w:pPr>
      <w:numPr>
        <w:ilvl w:val="0"/>
        <w:numId w:val="5"/>
      </w:numPr>
    </w:pPr>
    <w:rPr>
      <w:rFonts w:cs="Arial"/>
      <w14:scene3d>
        <w14:lightRig w14:rig="threePt" w14:dir="t">
          <w14:rot w14:lat="0" w14:lon="0" w14:rev="0"/>
        </w14:lightRig>
      </w14:scene3d>
    </w:rPr>
  </w:style>
  <w:style w:type="paragraph" w:customStyle="1" w:styleId="48">
    <w:name w:val="技术规范"/>
    <w:basedOn w:val="1"/>
    <w:link w:val="64"/>
    <w:qFormat/>
    <w:uiPriority w:val="0"/>
    <w:pPr>
      <w:numPr>
        <w:ilvl w:val="0"/>
        <w:numId w:val="6"/>
      </w:numPr>
      <w:spacing w:line="420" w:lineRule="exact"/>
      <w:ind w:left="0" w:firstLine="200" w:firstLineChars="200"/>
    </w:pPr>
    <w:rPr>
      <w:rFonts w:cs="微软雅黑"/>
      <w:sz w:val="24"/>
      <w:szCs w:val="21"/>
      <w:lang w:val="en-GB"/>
    </w:rPr>
  </w:style>
  <w:style w:type="character" w:customStyle="1" w:styleId="49">
    <w:name w:val="规则 Char1"/>
    <w:basedOn w:val="19"/>
    <w:link w:val="47"/>
    <w:qFormat/>
    <w:uiPriority w:val="0"/>
    <w:rPr>
      <w:rFonts w:ascii="思源黑体 CN Regular" w:hAnsi="思源黑体 CN Regular" w:eastAsia="思源黑体 CN Regular" w:cs="Arial"/>
      <w:kern w:val="2"/>
      <w:sz w:val="24"/>
      <w:szCs w:val="21"/>
      <w:lang w:val="en-GB"/>
      <w14:scene3d>
        <w14:lightRig w14:rig="threePt" w14:dir="t">
          <w14:rot w14:lat="0" w14:lon="0" w14:rev="0"/>
        </w14:lightRig>
      </w14:scene3d>
    </w:rPr>
  </w:style>
  <w:style w:type="character" w:customStyle="1" w:styleId="50">
    <w:name w:val="批注框文本 字符"/>
    <w:basedOn w:val="19"/>
    <w:link w:val="9"/>
    <w:semiHidden/>
    <w:qFormat/>
    <w:uiPriority w:val="99"/>
    <w:rPr>
      <w:sz w:val="18"/>
      <w:szCs w:val="18"/>
    </w:rPr>
  </w:style>
  <w:style w:type="character" w:customStyle="1" w:styleId="51">
    <w:name w:val="不明显强调1"/>
    <w:basedOn w:val="19"/>
    <w:qFormat/>
    <w:uiPriority w:val="19"/>
    <w:rPr>
      <w:i/>
      <w:iCs/>
      <w:color w:val="404040" w:themeColor="text1" w:themeTint="BF"/>
      <w14:textFill>
        <w14:solidFill>
          <w14:schemeClr w14:val="tx1">
            <w14:lumMod w14:val="75000"/>
            <w14:lumOff w14:val="25000"/>
          </w14:schemeClr>
        </w14:solidFill>
      </w14:textFill>
    </w:rPr>
  </w:style>
  <w:style w:type="character" w:customStyle="1" w:styleId="52">
    <w:name w:val="批注文字 字符"/>
    <w:basedOn w:val="19"/>
    <w:link w:val="7"/>
    <w:semiHidden/>
    <w:qFormat/>
    <w:uiPriority w:val="99"/>
  </w:style>
  <w:style w:type="character" w:customStyle="1" w:styleId="53">
    <w:name w:val="批注主题 字符"/>
    <w:basedOn w:val="52"/>
    <w:link w:val="16"/>
    <w:semiHidden/>
    <w:qFormat/>
    <w:uiPriority w:val="99"/>
    <w:rPr>
      <w:b/>
      <w:bCs/>
    </w:rPr>
  </w:style>
  <w:style w:type="paragraph" w:customStyle="1" w:styleId="54">
    <w:name w:val="任务"/>
    <w:basedOn w:val="48"/>
    <w:link w:val="55"/>
    <w:qFormat/>
    <w:uiPriority w:val="0"/>
    <w:pPr>
      <w:numPr>
        <w:ilvl w:val="0"/>
        <w:numId w:val="7"/>
      </w:numPr>
    </w:pPr>
    <w:rPr>
      <w:rFonts w:ascii="思源黑体 CN Heavy" w:hAnsi="思源黑体 CN Heavy" w:eastAsia="思源黑体 CN Heavy"/>
      <w:b/>
      <w14:scene3d>
        <w14:lightRig w14:rig="threePt" w14:dir="t">
          <w14:rot w14:lat="0" w14:lon="0" w14:rev="0"/>
        </w14:lightRig>
      </w14:scene3d>
    </w:rPr>
  </w:style>
  <w:style w:type="character" w:customStyle="1" w:styleId="55">
    <w:name w:val="任务 Char"/>
    <w:basedOn w:val="19"/>
    <w:link w:val="54"/>
    <w:qFormat/>
    <w:uiPriority w:val="0"/>
    <w:rPr>
      <w:rFonts w:ascii="思源黑体 CN Heavy" w:hAnsi="思源黑体 CN Heavy" w:eastAsia="思源黑体 CN Heavy" w:cs="微软雅黑"/>
      <w:b/>
      <w:kern w:val="2"/>
      <w:sz w:val="24"/>
      <w:szCs w:val="21"/>
      <w:lang w:val="en-GB"/>
      <w14:scene3d>
        <w14:lightRig w14:rig="threePt" w14:dir="t">
          <w14:rot w14:lat="0" w14:lon="0" w14:rev="0"/>
        </w14:lightRig>
      </w14:scene3d>
    </w:rPr>
  </w:style>
  <w:style w:type="paragraph" w:customStyle="1" w:styleId="56">
    <w:name w:val="Default"/>
    <w:qFormat/>
    <w:uiPriority w:val="0"/>
    <w:pPr>
      <w:widowControl w:val="0"/>
      <w:autoSpaceDE w:val="0"/>
      <w:autoSpaceDN w:val="0"/>
      <w:adjustRightInd w:val="0"/>
    </w:pPr>
    <w:rPr>
      <w:rFonts w:ascii="微软雅黑" w:eastAsia="微软雅黑" w:cs="微软雅黑" w:hAnsiTheme="minorHAnsi"/>
      <w:color w:val="000000"/>
      <w:sz w:val="24"/>
      <w:szCs w:val="24"/>
      <w:lang w:val="en-US" w:eastAsia="zh-CN" w:bidi="ar-SA"/>
    </w:rPr>
  </w:style>
  <w:style w:type="character" w:customStyle="1" w:styleId="57">
    <w:name w:val="标题 3 字符"/>
    <w:basedOn w:val="19"/>
    <w:link w:val="4"/>
    <w:semiHidden/>
    <w:qFormat/>
    <w:uiPriority w:val="9"/>
    <w:rPr>
      <w:rFonts w:asciiTheme="majorHAnsi" w:hAnsiTheme="majorHAnsi" w:eastAsiaTheme="majorEastAsia" w:cstheme="majorBidi"/>
      <w:color w:val="1F4E79" w:themeColor="accent1" w:themeShade="80"/>
      <w:sz w:val="24"/>
      <w:szCs w:val="24"/>
    </w:rPr>
  </w:style>
  <w:style w:type="character" w:customStyle="1" w:styleId="58">
    <w:name w:val="标题 5 字符"/>
    <w:basedOn w:val="19"/>
    <w:link w:val="6"/>
    <w:semiHidden/>
    <w:qFormat/>
    <w:uiPriority w:val="9"/>
    <w:rPr>
      <w:rFonts w:asciiTheme="majorHAnsi" w:hAnsiTheme="majorHAnsi" w:eastAsiaTheme="majorEastAsia" w:cstheme="majorBidi"/>
      <w:color w:val="2E75B6" w:themeColor="accent1" w:themeShade="BF"/>
    </w:rPr>
  </w:style>
  <w:style w:type="paragraph" w:customStyle="1" w:styleId="59">
    <w:name w:val="a"/>
    <w:basedOn w:val="1"/>
    <w:qFormat/>
    <w:uiPriority w:val="0"/>
    <w:pPr>
      <w:widowControl/>
      <w:spacing w:before="100" w:beforeAutospacing="1" w:after="100" w:afterAutospacing="1"/>
      <w:jc w:val="left"/>
    </w:pPr>
    <w:rPr>
      <w:rFonts w:ascii="Times New Roman" w:hAnsi="Times New Roman" w:cs="Times New Roman"/>
      <w:kern w:val="0"/>
      <w:sz w:val="24"/>
      <w:szCs w:val="24"/>
      <w:lang w:val="en-GB"/>
    </w:rPr>
  </w:style>
  <w:style w:type="character" w:customStyle="1" w:styleId="60">
    <w:name w:val="ql-author-14022863"/>
    <w:basedOn w:val="19"/>
    <w:qFormat/>
    <w:uiPriority w:val="0"/>
  </w:style>
  <w:style w:type="character" w:customStyle="1" w:styleId="61">
    <w:name w:val="ql-author-13496091"/>
    <w:basedOn w:val="19"/>
    <w:qFormat/>
    <w:uiPriority w:val="0"/>
  </w:style>
  <w:style w:type="character" w:customStyle="1" w:styleId="62">
    <w:name w:val="ql-author-15805597"/>
    <w:basedOn w:val="19"/>
    <w:qFormat/>
    <w:uiPriority w:val="0"/>
  </w:style>
  <w:style w:type="paragraph" w:styleId="63">
    <w:name w:val="No Spacing"/>
    <w:basedOn w:val="43"/>
    <w:link w:val="100"/>
    <w:qFormat/>
    <w:uiPriority w:val="1"/>
    <w:pPr>
      <w:numPr>
        <w:ilvl w:val="0"/>
        <w:numId w:val="0"/>
      </w:numPr>
    </w:pPr>
    <w:rPr>
      <w:rFonts w:ascii="思源黑体 CN Heavy" w:hAnsi="思源黑体 CN Heavy" w:eastAsia="思源黑体 CN Heavy"/>
      <w:color w:val="2E75B6" w:themeColor="accent1" w:themeShade="BF"/>
    </w:rPr>
  </w:style>
  <w:style w:type="character" w:customStyle="1" w:styleId="64">
    <w:name w:val="技术规范 Char"/>
    <w:basedOn w:val="19"/>
    <w:link w:val="48"/>
    <w:qFormat/>
    <w:uiPriority w:val="0"/>
    <w:rPr>
      <w:rFonts w:ascii="思源黑体 CN Regular" w:hAnsi="思源黑体 CN Regular" w:eastAsia="思源黑体 CN Regular" w:cs="微软雅黑"/>
      <w:kern w:val="2"/>
      <w:sz w:val="24"/>
      <w:szCs w:val="21"/>
      <w:lang w:val="en-GB"/>
    </w:rPr>
  </w:style>
  <w:style w:type="character" w:customStyle="1" w:styleId="65">
    <w:name w:val="标题 4 字符"/>
    <w:basedOn w:val="19"/>
    <w:link w:val="5"/>
    <w:semiHidden/>
    <w:qFormat/>
    <w:uiPriority w:val="9"/>
    <w:rPr>
      <w:rFonts w:asciiTheme="majorHAnsi" w:hAnsiTheme="majorHAnsi" w:eastAsiaTheme="majorEastAsia" w:cstheme="majorBidi"/>
      <w:b/>
      <w:bCs/>
      <w:sz w:val="28"/>
      <w:szCs w:val="28"/>
    </w:rPr>
  </w:style>
  <w:style w:type="character" w:customStyle="1" w:styleId="66">
    <w:name w:val="解释 Char"/>
    <w:basedOn w:val="35"/>
    <w:link w:val="67"/>
    <w:qFormat/>
    <w:uiPriority w:val="0"/>
    <w:rPr>
      <w:rFonts w:ascii="微软雅黑" w:hAnsi="微软雅黑" w:eastAsia="微软雅黑" w:cs="微软雅黑"/>
      <w:kern w:val="2"/>
      <w:sz w:val="24"/>
      <w:szCs w:val="21"/>
    </w:rPr>
  </w:style>
  <w:style w:type="paragraph" w:customStyle="1" w:styleId="67">
    <w:name w:val="解释"/>
    <w:basedOn w:val="31"/>
    <w:link w:val="66"/>
    <w:qFormat/>
    <w:uiPriority w:val="0"/>
    <w:pPr>
      <w:numPr>
        <w:numId w:val="0"/>
      </w:numPr>
      <w:ind w:left="1271" w:hanging="420"/>
    </w:pPr>
    <w:rPr>
      <w:rFonts w:ascii="微软雅黑" w:hAnsi="微软雅黑"/>
    </w:rPr>
  </w:style>
  <w:style w:type="character" w:customStyle="1" w:styleId="68">
    <w:name w:val="规则 Char"/>
    <w:basedOn w:val="32"/>
    <w:qFormat/>
    <w:uiPriority w:val="0"/>
    <w:rPr>
      <w:rFonts w:ascii="微软雅黑" w:hAnsi="微软雅黑" w:eastAsia="微软雅黑" w:cs="微软雅黑"/>
      <w:color w:val="000000" w:themeColor="text1"/>
      <w:kern w:val="2"/>
      <w:sz w:val="24"/>
      <w:szCs w:val="21"/>
      <w14:textFill>
        <w14:solidFill>
          <w14:schemeClr w14:val="tx1"/>
        </w14:solidFill>
      </w14:textFill>
    </w:rPr>
  </w:style>
  <w:style w:type="paragraph" w:customStyle="1" w:styleId="69">
    <w:name w:val="修订1"/>
    <w:hidden/>
    <w:semiHidden/>
    <w:qFormat/>
    <w:uiPriority w:val="99"/>
    <w:rPr>
      <w:rFonts w:asciiTheme="minorHAnsi" w:hAnsiTheme="minorHAnsi" w:eastAsiaTheme="minorEastAsia" w:cstheme="minorBidi"/>
      <w:kern w:val="2"/>
      <w:sz w:val="21"/>
      <w:szCs w:val="22"/>
      <w:lang w:val="en-US" w:eastAsia="zh-CN" w:bidi="ar-SA"/>
    </w:rPr>
  </w:style>
  <w:style w:type="table" w:customStyle="1" w:styleId="70">
    <w:name w:val="网格表 5 深色 - 着色 51"/>
    <w:basedOn w:val="1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5"/>
      </w:tcPr>
    </w:tblStylePr>
    <w:tblStylePr w:type="band1Vert">
      <w:tcPr>
        <w:shd w:val="clear" w:color="auto" w:fill="B4C6E7" w:themeFill="accent5" w:themeFillTint="66"/>
      </w:tcPr>
    </w:tblStylePr>
    <w:tblStylePr w:type="band1Horz">
      <w:tcPr>
        <w:shd w:val="clear" w:color="auto" w:fill="B4C6E7" w:themeFill="accent5" w:themeFillTint="66"/>
      </w:tcPr>
    </w:tblStylePr>
  </w:style>
  <w:style w:type="table" w:customStyle="1" w:styleId="71">
    <w:name w:val="无格式表格 31"/>
    <w:basedOn w:val="17"/>
    <w:qFormat/>
    <w:uiPriority w:val="43"/>
    <w:tblStylePr w:type="firstRow">
      <w:rPr>
        <w:b/>
        <w:bCs/>
        <w:caps/>
      </w:rPr>
      <w:tcPr>
        <w:tcBorders>
          <w:bottom w:val="single" w:color="7E7E7E" w:themeColor="text1" w:themeTint="80" w:sz="4" w:space="0"/>
        </w:tcBorders>
      </w:tcPr>
    </w:tblStylePr>
    <w:tblStylePr w:type="lastRow">
      <w:rPr>
        <w:b/>
        <w:bCs/>
        <w:caps/>
      </w:rPr>
      <w:tcPr>
        <w:tcBorders>
          <w:top w:val="nil"/>
        </w:tcBorders>
      </w:tcPr>
    </w:tblStylePr>
    <w:tblStylePr w:type="firstCol">
      <w:rPr>
        <w:b/>
        <w:bCs/>
        <w:caps/>
      </w:rPr>
      <w:tcPr>
        <w:tcBorders>
          <w:right w:val="single" w:color="7E7E7E" w:themeColor="text1" w:themeTint="80" w:sz="4" w:space="0"/>
        </w:tcBorders>
      </w:tcPr>
    </w:tblStylePr>
    <w:tblStylePr w:type="lastCol">
      <w:rPr>
        <w:b/>
        <w:bCs/>
        <w:caps/>
      </w:rPr>
      <w:tcPr>
        <w:tcBorders>
          <w:left w:val="nil"/>
        </w:tcBorders>
      </w:tcPr>
    </w:tblStylePr>
    <w:tblStylePr w:type="band1Vert">
      <w:tcPr>
        <w:shd w:val="clear" w:color="auto" w:fill="F1F1F1" w:themeFill="background1" w:themeFillShade="F2"/>
      </w:tcPr>
    </w:tblStylePr>
    <w:tblStylePr w:type="band1Horz">
      <w:tcPr>
        <w:shd w:val="clear" w:color="auto" w:fill="F1F1F1" w:themeFill="background1" w:themeFillShade="F2"/>
      </w:tcPr>
    </w:tblStylePr>
    <w:tblStylePr w:type="neCell">
      <w:tcPr>
        <w:tcBorders>
          <w:left w:val="nil"/>
        </w:tcBorders>
      </w:tcPr>
    </w:tblStylePr>
    <w:tblStylePr w:type="nwCell">
      <w:tcPr>
        <w:tcBorders>
          <w:right w:val="nil"/>
        </w:tcBorders>
      </w:tcPr>
    </w:tblStylePr>
  </w:style>
  <w:style w:type="table" w:customStyle="1" w:styleId="72">
    <w:name w:val="清单表 7 彩色 - 着色 21"/>
    <w:basedOn w:val="17"/>
    <w:qFormat/>
    <w:uiPriority w:val="52"/>
    <w:rPr>
      <w:color w:val="C55A11" w:themeColor="accent2" w:themeShade="BF"/>
    </w:rPr>
    <w:tblStylePr w:type="firstRow">
      <w:rPr>
        <w:rFonts w:asciiTheme="majorHAnsi" w:hAnsiTheme="majorHAnsi" w:eastAsiaTheme="majorEastAsia" w:cstheme="majorBidi"/>
        <w:i/>
        <w:iCs/>
        <w:sz w:val="26"/>
      </w:rPr>
      <w:tcPr>
        <w:tcBorders>
          <w:bottom w:val="single" w:color="ED7D31" w:themeColor="accent2" w:sz="4" w:space="0"/>
        </w:tcBorders>
        <w:shd w:val="clear" w:color="auto" w:fill="FFFFFF" w:themeFill="background1"/>
      </w:tcPr>
    </w:tblStylePr>
    <w:tblStylePr w:type="lastRow">
      <w:rPr>
        <w:rFonts w:asciiTheme="majorHAnsi" w:hAnsiTheme="majorHAnsi" w:eastAsiaTheme="majorEastAsia" w:cstheme="majorBidi"/>
        <w:i/>
        <w:iCs/>
        <w:sz w:val="26"/>
      </w:rPr>
      <w:tcPr>
        <w:tcBorders>
          <w:top w:val="single" w:color="ED7D31" w:themeColor="accent2"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cPr>
        <w:tcBorders>
          <w:right w:val="single" w:color="ED7D31" w:themeColor="accent2" w:sz="4" w:space="0"/>
        </w:tcBorders>
        <w:shd w:val="clear" w:color="auto" w:fill="FFFFFF" w:themeFill="background1"/>
      </w:tcPr>
    </w:tblStylePr>
    <w:tblStylePr w:type="lastCol">
      <w:rPr>
        <w:rFonts w:asciiTheme="majorHAnsi" w:hAnsiTheme="majorHAnsi" w:eastAsiaTheme="majorEastAsia" w:cstheme="majorBidi"/>
        <w:i/>
        <w:iCs/>
        <w:sz w:val="26"/>
      </w:rPr>
      <w:tcPr>
        <w:tcBorders>
          <w:left w:val="single" w:color="ED7D31" w:themeColor="accent2" w:sz="4" w:space="0"/>
        </w:tcBorders>
        <w:shd w:val="clear" w:color="auto" w:fill="FFFFFF" w:themeFill="background1"/>
      </w:tcPr>
    </w:tblStylePr>
    <w:tblStylePr w:type="band1Vert">
      <w:tcPr>
        <w:shd w:val="clear" w:color="auto" w:fill="FBE4D5" w:themeFill="accent2" w:themeFillTint="33"/>
      </w:tcPr>
    </w:tblStylePr>
    <w:tblStylePr w:type="band1Horz">
      <w:tcPr>
        <w:shd w:val="clear" w:color="auto" w:fill="FBE4D5" w:themeFill="accent2" w:themeFillTint="33"/>
      </w:tcPr>
    </w:tblStylePr>
    <w:tblStylePr w:type="neCell">
      <w:tcPr>
        <w:tcBorders>
          <w:left w:val="nil"/>
        </w:tcBorders>
      </w:tcPr>
    </w:tblStylePr>
    <w:tblStylePr w:type="nwCell">
      <w:tcPr>
        <w:tcBorders>
          <w:right w:val="nil"/>
        </w:tcBorders>
      </w:tcPr>
    </w:tblStylePr>
    <w:tblStylePr w:type="seCell">
      <w:tcPr>
        <w:tcBorders>
          <w:left w:val="nil"/>
        </w:tcBorders>
      </w:tcPr>
    </w:tblStylePr>
    <w:tblStylePr w:type="swCell">
      <w:tcPr>
        <w:tcBorders>
          <w:right w:val="nil"/>
        </w:tcBorders>
      </w:tcPr>
    </w:tblStylePr>
  </w:style>
  <w:style w:type="paragraph" w:customStyle="1" w:styleId="73">
    <w:name w:val="标题1"/>
    <w:basedOn w:val="1"/>
    <w:link w:val="74"/>
    <w:qFormat/>
    <w:uiPriority w:val="0"/>
    <w:pPr>
      <w:spacing w:line="240" w:lineRule="auto"/>
      <w:jc w:val="center"/>
    </w:pPr>
    <w:rPr>
      <w:b/>
      <w:sz w:val="52"/>
      <w:szCs w:val="44"/>
    </w:rPr>
  </w:style>
  <w:style w:type="character" w:customStyle="1" w:styleId="74">
    <w:name w:val="标题 Char"/>
    <w:basedOn w:val="19"/>
    <w:link w:val="73"/>
    <w:qFormat/>
    <w:uiPriority w:val="0"/>
    <w:rPr>
      <w:rFonts w:ascii="思源黑体 CN Regular" w:hAnsi="思源黑体 CN Regular" w:eastAsia="思源黑体 CN Regular"/>
      <w:b/>
      <w:sz w:val="52"/>
      <w:szCs w:val="44"/>
    </w:rPr>
  </w:style>
  <w:style w:type="character" w:customStyle="1" w:styleId="75">
    <w:name w:val="脚注文本 字符"/>
    <w:basedOn w:val="19"/>
    <w:link w:val="13"/>
    <w:semiHidden/>
    <w:qFormat/>
    <w:uiPriority w:val="99"/>
    <w:rPr>
      <w:rFonts w:ascii="思源黑体 CN Regular" w:hAnsi="思源黑体 CN Regular"/>
      <w:sz w:val="20"/>
      <w:szCs w:val="20"/>
    </w:rPr>
  </w:style>
  <w:style w:type="character" w:customStyle="1" w:styleId="76">
    <w:name w:val="未处理的提及1"/>
    <w:basedOn w:val="19"/>
    <w:semiHidden/>
    <w:unhideWhenUsed/>
    <w:qFormat/>
    <w:uiPriority w:val="99"/>
    <w:rPr>
      <w:color w:val="605E5C"/>
      <w:shd w:val="clear" w:color="auto" w:fill="E1DFDD"/>
    </w:rPr>
  </w:style>
  <w:style w:type="character" w:customStyle="1" w:styleId="77">
    <w:name w:val="三级标题1 Char"/>
    <w:basedOn w:val="40"/>
    <w:qFormat/>
    <w:uiPriority w:val="0"/>
    <w:rPr>
      <w:rFonts w:ascii="思源黑体 CN Regular" w:hAnsi="思源黑体 CN Regular" w:eastAsia="思源黑体 CN Heavy" w:cs="微软雅黑"/>
      <w:color w:val="2E75B6" w:themeColor="accent1" w:themeShade="BF"/>
      <w:kern w:val="2"/>
      <w:sz w:val="24"/>
      <w:szCs w:val="21"/>
    </w:rPr>
  </w:style>
  <w:style w:type="paragraph" w:customStyle="1" w:styleId="78">
    <w:name w:val="目录"/>
    <w:basedOn w:val="1"/>
    <w:link w:val="80"/>
    <w:qFormat/>
    <w:uiPriority w:val="0"/>
    <w:pPr>
      <w:widowControl/>
      <w:spacing w:line="240" w:lineRule="auto"/>
      <w:jc w:val="center"/>
    </w:pPr>
    <w:rPr>
      <w:rFonts w:ascii="思源黑体 CN Heavy" w:hAnsi="思源黑体 CN Heavy" w:eastAsia="思源黑体 CN Heavy" w:cs="微软雅黑"/>
      <w:b/>
      <w:color w:val="E6233C"/>
      <w:sz w:val="44"/>
      <w:szCs w:val="44"/>
    </w:rPr>
  </w:style>
  <w:style w:type="paragraph" w:customStyle="1" w:styleId="79">
    <w:name w:val="CN规则一级标题"/>
    <w:basedOn w:val="36"/>
    <w:link w:val="82"/>
    <w:qFormat/>
    <w:uiPriority w:val="0"/>
    <w:pPr>
      <w:spacing w:line="420" w:lineRule="exact"/>
    </w:pPr>
  </w:style>
  <w:style w:type="character" w:customStyle="1" w:styleId="80">
    <w:name w:val="目录 Char"/>
    <w:basedOn w:val="19"/>
    <w:link w:val="78"/>
    <w:qFormat/>
    <w:uiPriority w:val="0"/>
    <w:rPr>
      <w:rFonts w:ascii="思源黑体 CN Heavy" w:hAnsi="思源黑体 CN Heavy" w:eastAsia="思源黑体 CN Heavy" w:cs="微软雅黑"/>
      <w:b/>
      <w:color w:val="E6233C"/>
      <w:sz w:val="44"/>
      <w:szCs w:val="44"/>
    </w:rPr>
  </w:style>
  <w:style w:type="paragraph" w:customStyle="1" w:styleId="81">
    <w:name w:val="CN规则二级标题"/>
    <w:basedOn w:val="33"/>
    <w:link w:val="83"/>
    <w:qFormat/>
    <w:uiPriority w:val="0"/>
    <w:pPr>
      <w:spacing w:line="420" w:lineRule="exact"/>
    </w:pPr>
  </w:style>
  <w:style w:type="character" w:customStyle="1" w:styleId="82">
    <w:name w:val="CN规则一级标题 字符"/>
    <w:basedOn w:val="39"/>
    <w:link w:val="79"/>
    <w:qFormat/>
    <w:uiPriority w:val="0"/>
    <w:rPr>
      <w:rFonts w:ascii="思源黑体 CN Heavy" w:hAnsi="思源黑体 CN Heavy" w:eastAsia="思源黑体 CN Heavy"/>
      <w:color w:val="E6233C"/>
      <w:kern w:val="44"/>
      <w:sz w:val="44"/>
      <w:szCs w:val="44"/>
    </w:rPr>
  </w:style>
  <w:style w:type="character" w:customStyle="1" w:styleId="83">
    <w:name w:val="CN规则二级标题 字符"/>
    <w:basedOn w:val="37"/>
    <w:link w:val="81"/>
    <w:qFormat/>
    <w:uiPriority w:val="0"/>
    <w:rPr>
      <w:rFonts w:ascii="思源黑体 CN Heavy" w:hAnsi="思源黑体 CN Heavy" w:eastAsia="思源黑体 CN Heavy" w:cstheme="majorBidi"/>
      <w:color w:val="E6233C"/>
      <w:kern w:val="2"/>
      <w:sz w:val="32"/>
      <w:szCs w:val="32"/>
    </w:rPr>
  </w:style>
  <w:style w:type="table" w:customStyle="1" w:styleId="84">
    <w:name w:val="网格表 4 - 着色 31"/>
    <w:basedOn w:val="17"/>
    <w:qFormat/>
    <w:uiPriority w:val="49"/>
    <w:rPr>
      <w:rFonts w:ascii="Times New Roman" w:hAnsi="Times New Roman" w:eastAsia="宋体" w:cs="Times New Roman"/>
    </w:rPr>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table" w:customStyle="1" w:styleId="85">
    <w:name w:val="网格表 4 - 着色 11"/>
    <w:basedOn w:val="17"/>
    <w:qFormat/>
    <w:uiPriority w:val="49"/>
    <w:rPr>
      <w:rFonts w:ascii="Times New Roman" w:hAnsi="Times New Roman" w:eastAsia="宋体" w:cs="Times New Roman"/>
    </w:rPr>
    <w:tblPr>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firstRow">
      <w:rPr>
        <w:b/>
        <w:bCs/>
        <w:color w:val="FFFFFF" w:themeColor="background1"/>
        <w14:textFill>
          <w14:solidFill>
            <w14:schemeClr w14:val="bg1"/>
          </w14:solidFill>
        </w14:textFill>
      </w:rPr>
      <w:tcPr>
        <w:tcBorders>
          <w:top w:val="single" w:color="5B9BD5" w:themeColor="accent1" w:sz="4" w:space="0"/>
          <w:left w:val="single" w:color="5B9BD5" w:themeColor="accent1" w:sz="4" w:space="0"/>
          <w:bottom w:val="single" w:color="5B9BD5" w:themeColor="accent1" w:sz="4" w:space="0"/>
          <w:right w:val="single" w:color="5B9BD5" w:themeColor="accent1" w:sz="4" w:space="0"/>
          <w:insideH w:val="nil"/>
          <w:insideV w:val="nil"/>
        </w:tcBorders>
        <w:shd w:val="clear" w:color="auto" w:fill="5B9BD5" w:themeFill="accent1"/>
      </w:tcPr>
    </w:tblStylePr>
    <w:tblStylePr w:type="lastRow">
      <w:rPr>
        <w:b/>
        <w:bCs/>
      </w:rPr>
      <w:tcPr>
        <w:tcBorders>
          <w:top w:val="double" w:color="5B9BD5" w:themeColor="accent1" w:sz="4" w:space="0"/>
        </w:tcBorders>
      </w:tcPr>
    </w:tblStylePr>
    <w:tblStylePr w:type="firstCol">
      <w:rPr>
        <w:b/>
        <w:bCs/>
      </w:rPr>
    </w:tblStylePr>
    <w:tblStylePr w:type="lastCol">
      <w:rPr>
        <w:b/>
        <w:bCs/>
      </w:rPr>
    </w:tblStylePr>
    <w:tblStylePr w:type="band1Vert">
      <w:tcPr>
        <w:shd w:val="clear" w:color="auto" w:fill="DEEAF6" w:themeFill="accent1" w:themeFillTint="33"/>
      </w:tcPr>
    </w:tblStylePr>
    <w:tblStylePr w:type="band1Horz">
      <w:tcPr>
        <w:shd w:val="clear" w:color="auto" w:fill="DEEAF6" w:themeFill="accent1" w:themeFillTint="33"/>
      </w:tcPr>
    </w:tblStylePr>
  </w:style>
  <w:style w:type="paragraph" w:customStyle="1" w:styleId="86">
    <w:name w:val="石墨文档正文"/>
    <w:qFormat/>
    <w:uiPriority w:val="0"/>
    <w:pPr>
      <w:spacing w:after="160" w:line="259" w:lineRule="auto"/>
    </w:pPr>
    <w:rPr>
      <w:rFonts w:ascii="微软雅黑" w:hAnsi="微软雅黑" w:eastAsia="微软雅黑" w:cs="微软雅黑"/>
      <w:sz w:val="24"/>
      <w:szCs w:val="24"/>
      <w:lang w:val="en-US" w:eastAsia="zh-CN" w:bidi="ar-SA"/>
    </w:rPr>
  </w:style>
  <w:style w:type="table" w:customStyle="1" w:styleId="87">
    <w:name w:val="清单表 3 - 着色 11"/>
    <w:basedOn w:val="17"/>
    <w:qFormat/>
    <w:uiPriority w:val="48"/>
    <w:tblPr>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firstRow">
      <w:rPr>
        <w:b/>
        <w:bCs/>
        <w:color w:val="FFFFFF" w:themeColor="background1"/>
        <w14:textFill>
          <w14:solidFill>
            <w14:schemeClr w14:val="bg1"/>
          </w14:solidFill>
        </w14:textFill>
      </w:rPr>
      <w:tcPr>
        <w:shd w:val="clear" w:color="auto" w:fill="5B9BD5" w:themeFill="accent1"/>
      </w:tcPr>
    </w:tblStylePr>
    <w:tblStylePr w:type="lastRow">
      <w:rPr>
        <w:b/>
        <w:bCs/>
      </w:rPr>
      <w:tcPr>
        <w:tcBorders>
          <w:top w:val="double" w:color="5B9BD5" w:themeColor="accent1" w:sz="4" w:space="0"/>
        </w:tcBorders>
        <w:shd w:val="clear" w:color="auto" w:fill="FFFFFF" w:themeFill="background1"/>
      </w:tcPr>
    </w:tblStylePr>
    <w:tblStylePr w:type="firstCol">
      <w:rPr>
        <w:b/>
        <w:bCs/>
      </w:rPr>
      <w:tcPr>
        <w:tcBorders>
          <w:right w:val="nil"/>
        </w:tcBorders>
        <w:shd w:val="clear" w:color="auto" w:fill="FFFFFF" w:themeFill="background1"/>
      </w:tcPr>
    </w:tblStylePr>
    <w:tblStylePr w:type="lastCol">
      <w:rPr>
        <w:b/>
        <w:bCs/>
      </w:rPr>
      <w:tcPr>
        <w:tcBorders>
          <w:left w:val="nil"/>
        </w:tcBorders>
        <w:shd w:val="clear" w:color="auto" w:fill="FFFFFF" w:themeFill="background1"/>
      </w:tcPr>
    </w:tblStylePr>
    <w:tblStylePr w:type="band1Vert">
      <w:tcPr>
        <w:tcBorders>
          <w:left w:val="single" w:color="5B9BD5" w:themeColor="accent1" w:sz="4" w:space="0"/>
          <w:right w:val="single" w:color="5B9BD5" w:themeColor="accent1" w:sz="4" w:space="0"/>
        </w:tcBorders>
      </w:tcPr>
    </w:tblStylePr>
    <w:tblStylePr w:type="band1Horz">
      <w:tcPr>
        <w:tcBorders>
          <w:top w:val="single" w:color="5B9BD5" w:themeColor="accent1" w:sz="4" w:space="0"/>
          <w:bottom w:val="single" w:color="5B9BD5" w:themeColor="accent1" w:sz="4" w:space="0"/>
          <w:insideH w:val="nil"/>
        </w:tcBorders>
      </w:tcPr>
    </w:tblStylePr>
    <w:tblStylePr w:type="neCell">
      <w:tcPr>
        <w:tcBorders>
          <w:left w:val="nil"/>
          <w:bottom w:val="nil"/>
        </w:tcBorders>
      </w:tcPr>
    </w:tblStylePr>
    <w:tblStylePr w:type="nwCell">
      <w:tcPr>
        <w:tcBorders>
          <w:bottom w:val="nil"/>
          <w:right w:val="nil"/>
        </w:tcBorders>
      </w:tcPr>
    </w:tblStylePr>
    <w:tblStylePr w:type="seCell">
      <w:tcPr>
        <w:tcBorders>
          <w:top w:val="double" w:color="5B9BD5" w:themeColor="accent1" w:sz="4" w:space="0"/>
          <w:left w:val="nil"/>
        </w:tcBorders>
      </w:tcPr>
    </w:tblStylePr>
    <w:tblStylePr w:type="swCell">
      <w:tcPr>
        <w:tcBorders>
          <w:top w:val="double" w:color="5B9BD5" w:themeColor="accent1" w:sz="4" w:space="0"/>
          <w:right w:val="nil"/>
        </w:tcBorders>
      </w:tcPr>
    </w:tblStylePr>
  </w:style>
  <w:style w:type="paragraph" w:customStyle="1" w:styleId="88">
    <w:name w:val="技术"/>
    <w:basedOn w:val="67"/>
    <w:link w:val="89"/>
    <w:qFormat/>
    <w:uiPriority w:val="0"/>
    <w:pPr>
      <w:numPr>
        <w:ilvl w:val="0"/>
        <w:numId w:val="8"/>
      </w:numPr>
    </w:pPr>
  </w:style>
  <w:style w:type="character" w:customStyle="1" w:styleId="89">
    <w:name w:val="技术 Char"/>
    <w:basedOn w:val="66"/>
    <w:link w:val="88"/>
    <w:qFormat/>
    <w:uiPriority w:val="0"/>
    <w:rPr>
      <w:rFonts w:ascii="微软雅黑" w:hAnsi="微软雅黑" w:eastAsia="微软雅黑" w:cs="微软雅黑"/>
      <w:kern w:val="2"/>
      <w:sz w:val="24"/>
      <w:szCs w:val="21"/>
    </w:rPr>
  </w:style>
  <w:style w:type="paragraph" w:customStyle="1" w:styleId="90">
    <w:name w:val="CN规则"/>
    <w:basedOn w:val="1"/>
    <w:link w:val="91"/>
    <w:qFormat/>
    <w:uiPriority w:val="0"/>
    <w:pPr>
      <w:numPr>
        <w:ilvl w:val="0"/>
        <w:numId w:val="9"/>
      </w:numPr>
      <w:spacing w:line="420" w:lineRule="exact"/>
      <w:ind w:left="0" w:firstLine="200" w:firstLineChars="200"/>
    </w:pPr>
    <w:rPr>
      <w:sz w:val="24"/>
    </w:rPr>
  </w:style>
  <w:style w:type="character" w:customStyle="1" w:styleId="91">
    <w:name w:val="CN规则 Char"/>
    <w:basedOn w:val="49"/>
    <w:link w:val="90"/>
    <w:qFormat/>
    <w:uiPriority w:val="0"/>
    <w:rPr>
      <w:rFonts w:ascii="思源黑体 CN Regular" w:hAnsi="思源黑体 CN Regular" w:eastAsia="思源黑体 CN Regular" w:cs="Arial"/>
      <w:kern w:val="2"/>
      <w:sz w:val="24"/>
      <w:szCs w:val="22"/>
      <w:lang w:val="en-GB"/>
      <w14:scene3d>
        <w14:lightRig w14:rig="threePt" w14:dir="t">
          <w14:rot w14:lat="0" w14:lon="0" w14:rev="0"/>
        </w14:lightRig>
      </w14:scene3d>
    </w:rPr>
  </w:style>
  <w:style w:type="character" w:customStyle="1" w:styleId="92">
    <w:name w:val="未处理的提及2"/>
    <w:basedOn w:val="19"/>
    <w:semiHidden/>
    <w:unhideWhenUsed/>
    <w:qFormat/>
    <w:uiPriority w:val="99"/>
    <w:rPr>
      <w:color w:val="605E5C"/>
      <w:shd w:val="clear" w:color="auto" w:fill="E1DFDD"/>
    </w:rPr>
  </w:style>
  <w:style w:type="paragraph" w:customStyle="1" w:styleId="93">
    <w:name w:val="普通正文"/>
    <w:basedOn w:val="1"/>
    <w:link w:val="94"/>
    <w:qFormat/>
    <w:uiPriority w:val="0"/>
    <w:pPr>
      <w:spacing w:line="420" w:lineRule="exact"/>
      <w:ind w:firstLine="200" w:firstLineChars="200"/>
    </w:pPr>
    <w:rPr>
      <w:rFonts w:cs="微软雅黑"/>
      <w:color w:val="000000" w:themeColor="text1"/>
      <w:sz w:val="24"/>
      <w:szCs w:val="21"/>
      <w14:textFill>
        <w14:solidFill>
          <w14:schemeClr w14:val="tx1"/>
        </w14:solidFill>
      </w14:textFill>
    </w:rPr>
  </w:style>
  <w:style w:type="character" w:customStyle="1" w:styleId="94">
    <w:name w:val="普通正文 字符"/>
    <w:basedOn w:val="19"/>
    <w:link w:val="93"/>
    <w:qFormat/>
    <w:uiPriority w:val="0"/>
    <w:rPr>
      <w:rFonts w:ascii="思源黑体 CN Regular" w:hAnsi="思源黑体 CN Regular" w:eastAsia="思源黑体 CN Regular" w:cs="微软雅黑"/>
      <w:color w:val="000000" w:themeColor="text1"/>
      <w:kern w:val="2"/>
      <w:sz w:val="24"/>
      <w:szCs w:val="21"/>
      <w14:textFill>
        <w14:solidFill>
          <w14:schemeClr w14:val="tx1"/>
        </w14:solidFill>
      </w14:textFill>
    </w:rPr>
  </w:style>
  <w:style w:type="paragraph" w:customStyle="1" w:styleId="95">
    <w:name w:val="E01."/>
    <w:basedOn w:val="48"/>
    <w:link w:val="97"/>
    <w:qFormat/>
    <w:uiPriority w:val="0"/>
    <w:pPr>
      <w:ind w:firstLine="480"/>
    </w:pPr>
  </w:style>
  <w:style w:type="paragraph" w:customStyle="1" w:styleId="96">
    <w:name w:val="E01.样式1"/>
    <w:basedOn w:val="1"/>
    <w:link w:val="99"/>
    <w:qFormat/>
    <w:uiPriority w:val="0"/>
    <w:pPr>
      <w:numPr>
        <w:ilvl w:val="0"/>
        <w:numId w:val="10"/>
      </w:numPr>
      <w:spacing w:line="420" w:lineRule="exact"/>
      <w:ind w:left="0" w:firstLine="200" w:firstLineChars="200"/>
    </w:pPr>
    <w:rPr>
      <w:sz w:val="24"/>
    </w:rPr>
  </w:style>
  <w:style w:type="character" w:customStyle="1" w:styleId="97">
    <w:name w:val="E01. 字符"/>
    <w:basedOn w:val="64"/>
    <w:link w:val="95"/>
    <w:qFormat/>
    <w:uiPriority w:val="0"/>
    <w:rPr>
      <w:rFonts w:ascii="思源黑体 CN Regular" w:hAnsi="思源黑体 CN Regular" w:eastAsia="思源黑体 CN Regular" w:cs="微软雅黑"/>
      <w:kern w:val="2"/>
      <w:sz w:val="24"/>
      <w:szCs w:val="21"/>
      <w:lang w:val="en-GB"/>
    </w:rPr>
  </w:style>
  <w:style w:type="character" w:customStyle="1" w:styleId="98">
    <w:name w:val="不明显强调2"/>
    <w:basedOn w:val="19"/>
    <w:qFormat/>
    <w:uiPriority w:val="19"/>
    <w:rPr>
      <w:i/>
      <w:iCs/>
      <w:color w:val="404040" w:themeColor="text1" w:themeTint="BF"/>
      <w14:textFill>
        <w14:solidFill>
          <w14:schemeClr w14:val="tx1">
            <w14:lumMod w14:val="75000"/>
            <w14:lumOff w14:val="25000"/>
          </w14:schemeClr>
        </w14:solidFill>
      </w14:textFill>
    </w:rPr>
  </w:style>
  <w:style w:type="character" w:customStyle="1" w:styleId="99">
    <w:name w:val="E01.样式1 字符"/>
    <w:basedOn w:val="91"/>
    <w:link w:val="96"/>
    <w:qFormat/>
    <w:uiPriority w:val="0"/>
    <w:rPr>
      <w:rFonts w:ascii="思源黑体 CN Regular" w:hAnsi="思源黑体 CN Regular" w:eastAsia="思源黑体 CN Regular" w:cs="Arial"/>
      <w:kern w:val="2"/>
      <w:sz w:val="24"/>
      <w:szCs w:val="22"/>
      <w:lang w:val="en-GB"/>
      <w14:scene3d>
        <w14:lightRig w14:rig="threePt" w14:dir="t">
          <w14:rot w14:lat="0" w14:lon="0" w14:rev="0"/>
        </w14:lightRig>
      </w14:scene3d>
    </w:rPr>
  </w:style>
  <w:style w:type="character" w:customStyle="1" w:styleId="100">
    <w:name w:val="无间隔 字符"/>
    <w:basedOn w:val="19"/>
    <w:link w:val="63"/>
    <w:qFormat/>
    <w:uiPriority w:val="1"/>
    <w:rPr>
      <w:rFonts w:ascii="思源黑体 CN Heavy" w:hAnsi="思源黑体 CN Heavy" w:eastAsia="思源黑体 CN Heavy" w:cs="微软雅黑"/>
      <w:b/>
      <w:color w:val="2E75B6" w:themeColor="accent1" w:themeShade="BF"/>
      <w:kern w:val="2"/>
      <w:sz w:val="24"/>
      <w:szCs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0" Type="http://schemas.openxmlformats.org/officeDocument/2006/relationships/fontTable" Target="fontTable.xml"/><Relationship Id="rId4" Type="http://schemas.openxmlformats.org/officeDocument/2006/relationships/endnotes" Target="endnotes.xml"/><Relationship Id="rId39" Type="http://schemas.openxmlformats.org/officeDocument/2006/relationships/customXml" Target="../customXml/item2.xml"/><Relationship Id="rId38" Type="http://schemas.openxmlformats.org/officeDocument/2006/relationships/numbering" Target="numbering.xml"/><Relationship Id="rId37" Type="http://schemas.openxmlformats.org/officeDocument/2006/relationships/customXml" Target="../customXml/item1.xml"/><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theme" Target="theme/theme1.xml"/><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gradFill>
          <a:gsLst>
            <a:gs pos="0">
              <a:schemeClr val="accent1">
                <a:lumMod val="20000"/>
                <a:lumOff val="80000"/>
              </a:schemeClr>
            </a:gs>
            <a:gs pos="100000">
              <a:schemeClr val="accent1">
                <a:lumMod val="60000"/>
                <a:lumOff val="40000"/>
              </a:schemeClr>
            </a:gs>
          </a:gsLst>
        </a:gradFill>
        <a:ln>
          <a:noFill/>
        </a:ln>
      </a:spPr>
      <a:bodyPr rot="0" spcFirstLastPara="0" vertOverflow="overflow" horzOverflow="overflow" vert="horz" wrap="square" lIns="274320" tIns="45720" rIns="274320" bIns="45720" numCol="1" spcCol="0" rtlCol="0" fromWordArt="0" anchor="ctr" anchorCtr="0" forceAA="0" compatLnSpc="1">
        <a:noAutofit/>
      </a:bodyPr>
      <a:lstStyle/>
      <a:style>
        <a:lnRef idx="2">
          <a:schemeClr val="accent1">
            <a:shade val="50000"/>
          </a:schemeClr>
        </a:lnRef>
        <a:fillRef idx="1003">
          <a:schemeClr val="lt2"/>
        </a:fillRef>
        <a:effectRef idx="0">
          <a:schemeClr val="accent1"/>
        </a:effectRef>
        <a:fontRef idx="minor">
          <a:schemeClr val="lt1"/>
        </a:fontRef>
      </a:style>
    </a:sp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96"/>
    <customShpInfo spid="_x0000_s1050"/>
    <customShpInfo spid="_x0000_s1095"/>
    <customShpInfo spid="_x0000_s1033"/>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489726B-54C0-4AFB-85B5-7CA8CBF52448}">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41</Pages>
  <Words>15304</Words>
  <Characters>16341</Characters>
  <Lines>176</Lines>
  <Paragraphs>49</Paragraphs>
  <TotalTime>5</TotalTime>
  <ScaleCrop>false</ScaleCrop>
  <LinksUpToDate>false</LinksUpToDate>
  <CharactersWithSpaces>17002</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2021-09-26T08:18:00Z</dcterms:created>
  <dc:creator>MakeX组委会</dc:creator>
  <cp:keywords>MakeX组委会</cp:keywords>
  <cp:lastModifiedBy>任利军</cp:lastModifiedBy>
  <cp:lastPrinted>2021-10-29T02:48:00Z</cp:lastPrinted>
  <dcterms:modified xsi:type="dcterms:W3CDTF">2023-06-05T02:38:58Z</dcterms:modified>
  <cp:revision>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C17A14E1D90F47BA9A60FA3D8AE29680</vt:lpwstr>
  </property>
</Properties>
</file>